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i/>
          <w:i/>
          <w:sz w:val="28"/>
          <w:szCs w:val="28"/>
        </w:rPr>
      </w:pPr>
      <w:r>
        <w:rPr>
          <w:b/>
          <w:sz w:val="28"/>
          <w:szCs w:val="28"/>
        </w:rPr>
        <w:t>Программа распоряжения непрофильными активами Акционерного общества «Управление технологического транспорта» на 2019 г. – 2021 г.</w:t>
      </w:r>
    </w:p>
    <w:p>
      <w:pPr>
        <w:pStyle w:val="Normal"/>
        <w:jc w:val="center"/>
        <w:rPr>
          <w:i/>
          <w:i/>
          <w:sz w:val="28"/>
          <w:szCs w:val="28"/>
        </w:rPr>
      </w:pPr>
      <w:r>
        <w:rPr>
          <w:i/>
          <w:sz w:val="28"/>
          <w:szCs w:val="28"/>
        </w:rPr>
      </w:r>
    </w:p>
    <w:p>
      <w:pPr>
        <w:pStyle w:val="ListParagraph"/>
        <w:numPr>
          <w:ilvl w:val="0"/>
          <w:numId w:val="1"/>
        </w:numPr>
        <w:rPr>
          <w:b/>
          <w:b/>
          <w:sz w:val="28"/>
          <w:szCs w:val="28"/>
        </w:rPr>
      </w:pPr>
      <w:r>
        <w:rPr>
          <w:b/>
          <w:sz w:val="28"/>
          <w:szCs w:val="28"/>
        </w:rPr>
        <w:t>Основные термины и определения.</w:t>
      </w:r>
    </w:p>
    <w:p>
      <w:pPr>
        <w:pStyle w:val="Normal"/>
        <w:ind w:firstLine="709"/>
        <w:rPr>
          <w:sz w:val="28"/>
          <w:szCs w:val="28"/>
        </w:rPr>
      </w:pPr>
      <w:r>
        <w:rPr>
          <w:sz w:val="28"/>
          <w:szCs w:val="28"/>
        </w:rPr>
      </w:r>
    </w:p>
    <w:tbl>
      <w:tblPr>
        <w:tblW w:w="9923" w:type="dxa"/>
        <w:jc w:val="left"/>
        <w:tblInd w:w="27" w:type="dxa"/>
        <w:tbl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blBorders>
        <w:tblCellMar>
          <w:top w:w="0" w:type="dxa"/>
          <w:left w:w="27" w:type="dxa"/>
          <w:bottom w:w="0" w:type="dxa"/>
          <w:right w:w="28" w:type="dxa"/>
        </w:tblCellMar>
        <w:tblLook w:firstRow="1" w:noVBand="1" w:lastRow="0" w:firstColumn="1" w:lastColumn="0" w:noHBand="0" w:val="04a0"/>
      </w:tblPr>
      <w:tblGrid>
        <w:gridCol w:w="3401"/>
        <w:gridCol w:w="1276"/>
        <w:gridCol w:w="5246"/>
      </w:tblGrid>
      <w:tr>
        <w:trPr>
          <w:tblHeader w:val="true"/>
          <w:trHeight w:val="291" w:hRule="atLeast"/>
        </w:trPr>
        <w:tc>
          <w:tcPr>
            <w:tcW w:w="3401"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color="auto" w:fill="D9D9D9" w:val="clear"/>
            <w:tcMar>
              <w:left w:w="27" w:type="dxa"/>
            </w:tcMar>
            <w:vAlign w:val="center"/>
          </w:tcPr>
          <w:p>
            <w:pPr>
              <w:pStyle w:val="M2"/>
              <w:rPr>
                <w:highlight w:val="yellow"/>
              </w:rPr>
            </w:pPr>
            <w:r>
              <w:rPr/>
              <w:t>Наименование термина</w:t>
            </w:r>
          </w:p>
        </w:tc>
        <w:tc>
          <w:tcPr>
            <w:tcW w:w="127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color="auto" w:fill="D9D9D9" w:val="clear"/>
            <w:tcMar>
              <w:left w:w="27" w:type="dxa"/>
            </w:tcMar>
            <w:vAlign w:val="center"/>
          </w:tcPr>
          <w:p>
            <w:pPr>
              <w:pStyle w:val="M2"/>
              <w:rPr/>
            </w:pPr>
            <w:r>
              <w:rPr/>
              <w:t>Сокращение</w:t>
            </w:r>
          </w:p>
        </w:tc>
        <w:tc>
          <w:tcPr>
            <w:tcW w:w="524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color="auto" w:fill="D9D9D9" w:val="clear"/>
            <w:tcMar>
              <w:left w:w="27" w:type="dxa"/>
            </w:tcMar>
            <w:vAlign w:val="center"/>
          </w:tcPr>
          <w:p>
            <w:pPr>
              <w:pStyle w:val="M2"/>
              <w:rPr>
                <w:lang w:val="en-US"/>
              </w:rPr>
            </w:pPr>
            <w:r>
              <w:rPr/>
              <w:t>Определение термина</w:t>
            </w:r>
            <w:r>
              <w:rPr>
                <w:lang w:val="en-US"/>
              </w:rPr>
              <w:t xml:space="preserve"> (</w:t>
            </w:r>
            <w:r>
              <w:rPr/>
              <w:t>расшифровка сокращения</w:t>
            </w:r>
            <w:r>
              <w:rPr>
                <w:lang w:val="en-US"/>
              </w:rPr>
              <w:t>)</w:t>
            </w:r>
          </w:p>
        </w:tc>
      </w:tr>
      <w:tr>
        <w:trPr>
          <w:trHeight w:val="291" w:hRule="atLeast"/>
        </w:trPr>
        <w:tc>
          <w:tcPr>
            <w:tcW w:w="3401"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Компания</w:t>
            </w:r>
          </w:p>
        </w:tc>
        <w:tc>
          <w:tcPr>
            <w:tcW w:w="127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r>
          </w:p>
        </w:tc>
        <w:tc>
          <w:tcPr>
            <w:tcW w:w="524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АО «УТТ»</w:t>
            </w:r>
          </w:p>
        </w:tc>
      </w:tr>
      <w:tr>
        <w:trPr>
          <w:trHeight w:val="291" w:hRule="atLeast"/>
        </w:trPr>
        <w:tc>
          <w:tcPr>
            <w:tcW w:w="3401"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Активы</w:t>
            </w:r>
          </w:p>
        </w:tc>
        <w:tc>
          <w:tcPr>
            <w:tcW w:w="127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r>
          </w:p>
        </w:tc>
        <w:tc>
          <w:tcPr>
            <w:tcW w:w="524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основные и оборотные средства Компании, включая денежные средства, материальные ценности, нематериальные активы, финансовые вложения</w:t>
            </w:r>
          </w:p>
        </w:tc>
      </w:tr>
      <w:tr>
        <w:trPr>
          <w:trHeight w:val="291" w:hRule="atLeast"/>
        </w:trPr>
        <w:tc>
          <w:tcPr>
            <w:tcW w:w="3401"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Группа «Интер РАО»</w:t>
            </w:r>
          </w:p>
        </w:tc>
        <w:tc>
          <w:tcPr>
            <w:tcW w:w="127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Группа</w:t>
            </w:r>
          </w:p>
        </w:tc>
        <w:tc>
          <w:tcPr>
            <w:tcW w:w="524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ПАО «Интер РАО» и его ДО</w:t>
            </w:r>
          </w:p>
        </w:tc>
      </w:tr>
      <w:tr>
        <w:trPr>
          <w:trHeight w:val="291" w:hRule="atLeast"/>
        </w:trPr>
        <w:tc>
          <w:tcPr>
            <w:tcW w:w="3401"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Долгосрочная программа развития</w:t>
            </w:r>
            <w:r>
              <w:rPr>
                <w:rStyle w:val="Style15"/>
                <w:bCs/>
              </w:rPr>
              <w:footnoteReference w:id="2"/>
            </w:r>
          </w:p>
        </w:tc>
        <w:tc>
          <w:tcPr>
            <w:tcW w:w="127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ДПР</w:t>
            </w:r>
          </w:p>
        </w:tc>
        <w:tc>
          <w:tcPr>
            <w:tcW w:w="524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документ Компании, являющийся производным от стратегии развития и содержащий конкретные мероприятия, обеспечивающие достижение стратегических целей развития Компании, определенных стратегией развития, с указанием объема и источников их финансирования, включающий значения показателей текущих и ожидаемых результатов деятельности Компании, на период от 3 до 5 лет</w:t>
            </w:r>
          </w:p>
        </w:tc>
      </w:tr>
      <w:tr>
        <w:trPr>
          <w:trHeight w:val="291" w:hRule="atLeast"/>
        </w:trPr>
        <w:tc>
          <w:tcPr>
            <w:tcW w:w="3401"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Единица управленческого учета</w:t>
            </w:r>
          </w:p>
        </w:tc>
        <w:tc>
          <w:tcPr>
            <w:tcW w:w="127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Е2У</w:t>
            </w:r>
          </w:p>
        </w:tc>
        <w:tc>
          <w:tcPr>
            <w:tcW w:w="524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отдельный актив или комплекс активов, способных в том числе потенциально генерировать поступление денежных средств; соответствует понятию Единица Генерирующая Денежный Поток (ЕГДП) согласно МСФО</w:t>
            </w:r>
          </w:p>
        </w:tc>
      </w:tr>
      <w:tr>
        <w:trPr>
          <w:trHeight w:val="291" w:hRule="atLeast"/>
        </w:trPr>
        <w:tc>
          <w:tcPr>
            <w:tcW w:w="3401"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Непрофильный актив</w:t>
            </w:r>
          </w:p>
        </w:tc>
        <w:tc>
          <w:tcPr>
            <w:tcW w:w="127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r>
          </w:p>
        </w:tc>
        <w:tc>
          <w:tcPr>
            <w:tcW w:w="524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актив, принадлежащий Компании на праве собственности, не соответствующий понятию «профильный актив», включая принадлежащие Компании пакеты акций (доли) в хозяйственном обществе вне зависимости от основного вида деятельности Компании, составляющие в совокупности с пакетами (долями), находящимися в собственности дочерних обществ и/или иных компаний Группы, менее 50% уставного капитала</w:t>
            </w:r>
          </w:p>
        </w:tc>
      </w:tr>
      <w:tr>
        <w:trPr>
          <w:trHeight w:val="291" w:hRule="atLeast"/>
        </w:trPr>
        <w:tc>
          <w:tcPr>
            <w:tcW w:w="3401"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План мероприятий по реализации непрофильных активов</w:t>
            </w:r>
          </w:p>
        </w:tc>
        <w:tc>
          <w:tcPr>
            <w:tcW w:w="127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План мероприятий</w:t>
            </w:r>
          </w:p>
        </w:tc>
        <w:tc>
          <w:tcPr>
            <w:tcW w:w="524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документ Компании, включающий в себя перечень непрофильных активов, планируемых к реализации (отчуждению), способы их реализации с распределением по кварталам года, а также экономическое обоснование реализации (отчуждения) непрофильных активов</w:t>
            </w:r>
          </w:p>
        </w:tc>
      </w:tr>
      <w:tr>
        <w:trPr>
          <w:trHeight w:val="291" w:hRule="atLeast"/>
        </w:trPr>
        <w:tc>
          <w:tcPr>
            <w:tcW w:w="3401"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Основные виды деятельности Компании</w:t>
            </w:r>
          </w:p>
        </w:tc>
        <w:tc>
          <w:tcPr>
            <w:tcW w:w="127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r>
          </w:p>
        </w:tc>
        <w:tc>
          <w:tcPr>
            <w:tcW w:w="524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49.31.21 Регулярные перевозки пассажиров</w:t>
            </w:r>
          </w:p>
          <w:p>
            <w:pPr>
              <w:pStyle w:val="M1"/>
              <w:jc w:val="center"/>
              <w:rPr>
                <w:bCs/>
              </w:rPr>
            </w:pPr>
            <w:r>
              <w:rPr>
                <w:bCs/>
              </w:rPr>
              <w:t>автобусами в городском и пригородном</w:t>
            </w:r>
          </w:p>
          <w:p>
            <w:pPr>
              <w:pStyle w:val="M1"/>
              <w:jc w:val="center"/>
              <w:rPr>
                <w:bCs/>
                <w:i/>
                <w:i/>
              </w:rPr>
            </w:pPr>
            <w:r>
              <w:rPr>
                <w:bCs/>
              </w:rPr>
              <w:t>сообщении</w:t>
            </w:r>
          </w:p>
        </w:tc>
      </w:tr>
      <w:tr>
        <w:trPr>
          <w:trHeight w:val="291" w:hRule="atLeast"/>
        </w:trPr>
        <w:tc>
          <w:tcPr>
            <w:tcW w:w="3401"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Профильный актив</w:t>
            </w:r>
          </w:p>
        </w:tc>
        <w:tc>
          <w:tcPr>
            <w:tcW w:w="127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r>
          </w:p>
        </w:tc>
        <w:tc>
          <w:tcPr>
            <w:tcW w:w="524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актив, принадлежащий Компании на праве собственности, и используемый в основных видах деятельности или необходимый для реализации ДПР, Стратегии развития (при наличии таких программы и стратегии), или соответствующий критериям профильности в соответствии с настоящей программой</w:t>
            </w:r>
          </w:p>
        </w:tc>
      </w:tr>
      <w:tr>
        <w:trPr>
          <w:trHeight w:val="291" w:hRule="atLeast"/>
        </w:trPr>
        <w:tc>
          <w:tcPr>
            <w:tcW w:w="3401"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 xml:space="preserve">Реестр единиц управленческого учета </w:t>
            </w:r>
          </w:p>
        </w:tc>
        <w:tc>
          <w:tcPr>
            <w:tcW w:w="127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Реестр Е2У</w:t>
            </w:r>
          </w:p>
        </w:tc>
        <w:tc>
          <w:tcPr>
            <w:tcW w:w="524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перечень всех единиц управленческого учета Компании, который формируется и ведется на постоянной основе менеджментом Компании</w:t>
            </w:r>
          </w:p>
        </w:tc>
      </w:tr>
      <w:tr>
        <w:trPr>
          <w:trHeight w:val="291" w:hRule="atLeast"/>
        </w:trPr>
        <w:tc>
          <w:tcPr>
            <w:tcW w:w="3401"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Реестр непрофильных активов</w:t>
            </w:r>
          </w:p>
        </w:tc>
        <w:tc>
          <w:tcPr>
            <w:tcW w:w="127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РНА</w:t>
            </w:r>
          </w:p>
        </w:tc>
        <w:tc>
          <w:tcPr>
            <w:tcW w:w="524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перечень всех непрофильных активов Компании</w:t>
            </w:r>
          </w:p>
        </w:tc>
      </w:tr>
      <w:tr>
        <w:trPr>
          <w:trHeight w:val="291" w:hRule="atLeast"/>
        </w:trPr>
        <w:tc>
          <w:tcPr>
            <w:tcW w:w="3401"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Стратегия развития</w:t>
            </w:r>
            <w:r>
              <w:rPr>
                <w:rStyle w:val="Style15"/>
                <w:bCs/>
              </w:rPr>
              <w:footnoteReference w:id="3"/>
            </w:r>
          </w:p>
        </w:tc>
        <w:tc>
          <w:tcPr>
            <w:tcW w:w="127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rPr>
              <w:t>Стратегия</w:t>
            </w:r>
          </w:p>
        </w:tc>
        <w:tc>
          <w:tcPr>
            <w:tcW w:w="5246" w:type="dxa"/>
            <w:tcBorders>
              <w:top w:val="dashSmallGap" w:sz="8" w:space="0" w:color="00000A"/>
              <w:left w:val="dashSmallGap" w:sz="8" w:space="0" w:color="00000A"/>
              <w:bottom w:val="dashSmallGap" w:sz="8" w:space="0" w:color="00000A"/>
              <w:right w:val="dashSmallGap" w:sz="8" w:space="0" w:color="00000A"/>
              <w:insideH w:val="dashSmallGap" w:sz="8" w:space="0" w:color="00000A"/>
              <w:insideV w:val="dashSmallGap" w:sz="8" w:space="0" w:color="00000A"/>
            </w:tcBorders>
            <w:shd w:fill="auto" w:val="clear"/>
            <w:tcMar>
              <w:left w:w="27" w:type="dxa"/>
            </w:tcMar>
            <w:vAlign w:val="center"/>
          </w:tcPr>
          <w:p>
            <w:pPr>
              <w:pStyle w:val="M1"/>
              <w:jc w:val="center"/>
              <w:rPr>
                <w:bCs/>
              </w:rPr>
            </w:pPr>
            <w:r>
              <w:rPr>
                <w:bCs/>
                <w:lang w:eastAsia="en-US"/>
              </w:rPr>
              <w:t>документ Компании, содержащий заявление о миссии, видении, стратегических направлениях, и определяющий стратегические цели</w:t>
            </w:r>
          </w:p>
        </w:tc>
      </w:tr>
    </w:tbl>
    <w:p>
      <w:pPr>
        <w:pStyle w:val="Normal"/>
        <w:ind w:firstLine="709"/>
        <w:rPr>
          <w:sz w:val="28"/>
          <w:szCs w:val="28"/>
        </w:rPr>
      </w:pPr>
      <w:r>
        <w:rPr>
          <w:sz w:val="28"/>
          <w:szCs w:val="28"/>
        </w:rPr>
      </w:r>
    </w:p>
    <w:p>
      <w:pPr>
        <w:pStyle w:val="Normal"/>
        <w:ind w:firstLine="709"/>
        <w:rPr>
          <w:b/>
          <w:b/>
          <w:sz w:val="28"/>
          <w:szCs w:val="28"/>
        </w:rPr>
      </w:pPr>
      <w:r>
        <w:rPr>
          <w:b/>
          <w:sz w:val="28"/>
          <w:szCs w:val="28"/>
        </w:rPr>
        <w:t>2.</w:t>
        <w:tab/>
        <w:t>Принципы реализации непрофильных активов.</w:t>
      </w:r>
    </w:p>
    <w:p>
      <w:pPr>
        <w:pStyle w:val="Normal"/>
        <w:widowControl w:val="false"/>
        <w:overflowPunct w:val="true"/>
        <w:ind w:firstLine="709"/>
        <w:jc w:val="both"/>
        <w:rPr>
          <w:sz w:val="28"/>
          <w:szCs w:val="28"/>
        </w:rPr>
      </w:pPr>
      <w:r>
        <w:rPr>
          <w:sz w:val="28"/>
          <w:szCs w:val="28"/>
        </w:rPr>
      </w:r>
    </w:p>
    <w:p>
      <w:pPr>
        <w:pStyle w:val="Normal"/>
        <w:widowControl w:val="false"/>
        <w:overflowPunct w:val="true"/>
        <w:ind w:firstLine="709"/>
        <w:jc w:val="both"/>
        <w:rPr/>
      </w:pPr>
      <w:r>
        <w:rPr>
          <w:sz w:val="28"/>
          <w:szCs w:val="28"/>
        </w:rPr>
        <w:t>а)</w:t>
        <w:tab/>
        <w:t>транспарентность – открытость и доступность информации о применяемых методах и подходах по выявлению непрофильных активов из всей совокупности активов Компании;</w:t>
      </w:r>
    </w:p>
    <w:p>
      <w:pPr>
        <w:pStyle w:val="Normal"/>
        <w:widowControl w:val="false"/>
        <w:overflowPunct w:val="true"/>
        <w:ind w:firstLine="709"/>
        <w:jc w:val="both"/>
        <w:rPr/>
      </w:pPr>
      <w:r>
        <w:rPr>
          <w:sz w:val="28"/>
          <w:szCs w:val="28"/>
        </w:rPr>
        <w:t>б)</w:t>
        <w:tab/>
        <w:t>системность – регулярный анализ активов Компании на предмет выявления их непрофильности;</w:t>
      </w:r>
    </w:p>
    <w:p>
      <w:pPr>
        <w:pStyle w:val="Normal"/>
        <w:widowControl w:val="false"/>
        <w:overflowPunct w:val="true"/>
        <w:ind w:firstLine="709"/>
        <w:jc w:val="both"/>
        <w:rPr>
          <w:sz w:val="28"/>
          <w:szCs w:val="28"/>
        </w:rPr>
      </w:pPr>
      <w:r>
        <w:rPr>
          <w:sz w:val="28"/>
          <w:szCs w:val="28"/>
        </w:rPr>
        <w:t>в)</w:t>
        <w:tab/>
        <w:t>прозрачность – обеспечение открытых и публичных процедур по реализации непрофильных активов, в том числе использование доступных для потенциальных покупателей способов раскрытия информации о реализации непрофильных активов;</w:t>
      </w:r>
    </w:p>
    <w:p>
      <w:pPr>
        <w:pStyle w:val="Normal"/>
        <w:widowControl w:val="false"/>
        <w:ind w:firstLine="709"/>
        <w:jc w:val="both"/>
        <w:rPr>
          <w:sz w:val="28"/>
          <w:szCs w:val="28"/>
        </w:rPr>
      </w:pPr>
      <w:r>
        <w:rPr>
          <w:sz w:val="28"/>
          <w:szCs w:val="28"/>
        </w:rPr>
        <w:t>г)</w:t>
        <w:tab/>
        <w:t>эффективность – экономически обоснованная реализация непрофильного актива;</w:t>
      </w:r>
    </w:p>
    <w:p>
      <w:pPr>
        <w:pStyle w:val="Normal"/>
        <w:widowControl w:val="false"/>
        <w:ind w:firstLine="709"/>
        <w:jc w:val="both"/>
        <w:rPr>
          <w:sz w:val="28"/>
          <w:szCs w:val="28"/>
        </w:rPr>
      </w:pPr>
      <w:r>
        <w:rPr>
          <w:sz w:val="28"/>
          <w:szCs w:val="28"/>
        </w:rPr>
        <w:t>д)</w:t>
        <w:tab/>
        <w:t>максимизация  доходов – реализация непрофильных активов на возмездной основе;</w:t>
      </w:r>
    </w:p>
    <w:p>
      <w:pPr>
        <w:pStyle w:val="Normal"/>
        <w:widowControl w:val="false"/>
        <w:ind w:firstLine="709"/>
        <w:jc w:val="both"/>
        <w:rPr>
          <w:sz w:val="28"/>
          <w:szCs w:val="28"/>
        </w:rPr>
      </w:pPr>
      <w:r>
        <w:rPr>
          <w:sz w:val="28"/>
          <w:szCs w:val="28"/>
        </w:rPr>
        <w:t>е)</w:t>
        <w:tab/>
        <w:t>минимизация расходов – снижение затрат на содержание неликвидных активов;</w:t>
      </w:r>
    </w:p>
    <w:p>
      <w:pPr>
        <w:pStyle w:val="Normal"/>
        <w:widowControl w:val="false"/>
        <w:ind w:firstLine="709"/>
        <w:jc w:val="both"/>
        <w:rPr>
          <w:sz w:val="28"/>
          <w:szCs w:val="28"/>
        </w:rPr>
      </w:pPr>
      <w:r>
        <w:rPr>
          <w:sz w:val="28"/>
          <w:szCs w:val="28"/>
        </w:rPr>
        <w:t>ж)</w:t>
        <w:tab/>
        <w:t xml:space="preserve">защита  экономических интересов при распоряжении активами – своевременная реализация активов </w:t>
      </w:r>
      <w:r>
        <w:rPr>
          <w:bCs/>
          <w:sz w:val="28"/>
          <w:szCs w:val="28"/>
        </w:rPr>
        <w:t>Компании</w:t>
      </w:r>
      <w:r>
        <w:rPr>
          <w:sz w:val="28"/>
          <w:szCs w:val="28"/>
        </w:rPr>
        <w:t xml:space="preserve">, предотвращение потери стоимости активов, защита прав и интересов </w:t>
      </w:r>
      <w:r>
        <w:rPr>
          <w:bCs/>
          <w:sz w:val="28"/>
          <w:szCs w:val="28"/>
        </w:rPr>
        <w:t>Компании</w:t>
      </w:r>
      <w:r>
        <w:rPr>
          <w:sz w:val="28"/>
          <w:szCs w:val="28"/>
        </w:rPr>
        <w:t xml:space="preserve"> перед совладельцами активов и третьими лицами.</w:t>
      </w:r>
    </w:p>
    <w:p>
      <w:pPr>
        <w:pStyle w:val="Normal"/>
        <w:ind w:firstLine="765"/>
        <w:jc w:val="both"/>
        <w:rPr>
          <w:i/>
          <w:i/>
          <w:sz w:val="28"/>
          <w:szCs w:val="28"/>
        </w:rPr>
      </w:pPr>
      <w:r>
        <w:rPr>
          <w:i/>
          <w:sz w:val="28"/>
          <w:szCs w:val="28"/>
        </w:rPr>
      </w:r>
    </w:p>
    <w:p>
      <w:pPr>
        <w:pStyle w:val="Normal"/>
        <w:ind w:firstLine="765"/>
        <w:rPr>
          <w:b/>
          <w:b/>
          <w:sz w:val="28"/>
          <w:szCs w:val="28"/>
        </w:rPr>
      </w:pPr>
      <w:r>
        <w:rPr>
          <w:b/>
          <w:sz w:val="28"/>
          <w:szCs w:val="28"/>
        </w:rPr>
        <w:t>3.</w:t>
        <w:tab/>
        <w:t>Порядок выявления непрофильных активов.</w:t>
      </w:r>
    </w:p>
    <w:p>
      <w:pPr>
        <w:pStyle w:val="Normal"/>
        <w:ind w:firstLine="765"/>
        <w:rPr>
          <w:sz w:val="28"/>
          <w:szCs w:val="28"/>
        </w:rPr>
      </w:pPr>
      <w:r>
        <w:rPr>
          <w:sz w:val="28"/>
          <w:szCs w:val="28"/>
        </w:rPr>
      </w:r>
    </w:p>
    <w:p>
      <w:pPr>
        <w:pStyle w:val="Normal"/>
        <w:ind w:firstLine="765"/>
        <w:jc w:val="both"/>
        <w:rPr>
          <w:sz w:val="20"/>
          <w:szCs w:val="20"/>
        </w:rPr>
      </w:pPr>
      <w:r>
        <w:rPr>
          <w:sz w:val="28"/>
          <w:szCs w:val="28"/>
        </w:rPr>
        <w:t xml:space="preserve">Процесс выявления непрофильных активов из состава всех активов </w:t>
      </w:r>
      <w:r>
        <w:rPr>
          <w:bCs/>
          <w:sz w:val="28"/>
          <w:szCs w:val="28"/>
        </w:rPr>
        <w:t>Компании</w:t>
      </w:r>
      <w:r>
        <w:rPr>
          <w:sz w:val="28"/>
          <w:szCs w:val="28"/>
        </w:rPr>
        <w:t xml:space="preserve"> начинается с анализа внеоборотных активов</w:t>
      </w:r>
      <w:r>
        <w:rPr>
          <w:rStyle w:val="Style15"/>
          <w:sz w:val="28"/>
          <w:szCs w:val="28"/>
        </w:rPr>
        <w:footnoteReference w:id="4"/>
      </w:r>
      <w:r>
        <w:rPr>
          <w:sz w:val="28"/>
          <w:szCs w:val="28"/>
        </w:rPr>
        <w:t>, который проводится в 3 этапа:</w:t>
      </w:r>
    </w:p>
    <w:p>
      <w:pPr>
        <w:pStyle w:val="Normal"/>
        <w:numPr>
          <w:ilvl w:val="0"/>
          <w:numId w:val="2"/>
        </w:numPr>
        <w:tabs>
          <w:tab w:val="left" w:pos="1000" w:leader="none"/>
        </w:tabs>
        <w:ind w:firstLine="765"/>
        <w:rPr>
          <w:sz w:val="28"/>
          <w:szCs w:val="28"/>
        </w:rPr>
      </w:pPr>
      <w:r>
        <w:rPr>
          <w:sz w:val="28"/>
          <w:szCs w:val="28"/>
        </w:rPr>
        <w:t>Подготовительный этап.</w:t>
      </w:r>
    </w:p>
    <w:p>
      <w:pPr>
        <w:pStyle w:val="Normal"/>
        <w:ind w:firstLine="765"/>
        <w:jc w:val="both"/>
        <w:rPr>
          <w:sz w:val="28"/>
          <w:szCs w:val="28"/>
        </w:rPr>
      </w:pPr>
      <w:r>
        <w:rPr>
          <w:sz w:val="28"/>
          <w:szCs w:val="28"/>
        </w:rPr>
        <w:t>На данном этапе проводится:</w:t>
      </w:r>
    </w:p>
    <w:p>
      <w:pPr>
        <w:pStyle w:val="ListParagraph"/>
        <w:numPr>
          <w:ilvl w:val="0"/>
          <w:numId w:val="5"/>
        </w:numPr>
        <w:ind w:left="0" w:firstLine="765"/>
        <w:jc w:val="both"/>
        <w:rPr>
          <w:sz w:val="28"/>
          <w:szCs w:val="28"/>
        </w:rPr>
      </w:pPr>
      <w:r>
        <w:rPr>
          <w:sz w:val="28"/>
          <w:szCs w:val="28"/>
        </w:rPr>
        <w:t xml:space="preserve">Инвентаризация всех имеющихся в наличии внеоборотных активов </w:t>
      </w:r>
      <w:r>
        <w:rPr>
          <w:bCs/>
          <w:sz w:val="28"/>
          <w:szCs w:val="28"/>
        </w:rPr>
        <w:t>Компании</w:t>
      </w:r>
      <w:r>
        <w:rPr>
          <w:sz w:val="28"/>
          <w:szCs w:val="28"/>
        </w:rPr>
        <w:t>, а также активов, переданных в доверительное управление, или права на которые удостоверены паями паевых инвестиционных фондов.</w:t>
      </w:r>
    </w:p>
    <w:p>
      <w:pPr>
        <w:pStyle w:val="Normal"/>
        <w:ind w:firstLine="765"/>
        <w:jc w:val="both"/>
        <w:rPr>
          <w:sz w:val="20"/>
          <w:szCs w:val="20"/>
        </w:rPr>
      </w:pPr>
      <w:r>
        <w:rPr>
          <w:sz w:val="28"/>
          <w:szCs w:val="28"/>
        </w:rPr>
        <w:t>При инвентаризации выявляется фактическое наличие активов, которое сопоставляется с данными регистров бухгалтерского учета.</w:t>
      </w:r>
    </w:p>
    <w:p>
      <w:pPr>
        <w:pStyle w:val="Normal"/>
        <w:numPr>
          <w:ilvl w:val="0"/>
          <w:numId w:val="3"/>
        </w:numPr>
        <w:tabs>
          <w:tab w:val="left" w:pos="0" w:leader="none"/>
        </w:tabs>
        <w:ind w:firstLine="765"/>
        <w:jc w:val="both"/>
        <w:rPr>
          <w:sz w:val="28"/>
          <w:szCs w:val="28"/>
        </w:rPr>
      </w:pPr>
      <w:r>
        <w:rPr>
          <w:sz w:val="28"/>
          <w:szCs w:val="28"/>
        </w:rPr>
        <w:t xml:space="preserve">Объединение активов в Е2У (при необходимости) и формирование Реестра Е2У в отношении всех инвентаризируемых активов </w:t>
      </w:r>
      <w:r>
        <w:rPr>
          <w:bCs/>
          <w:sz w:val="28"/>
          <w:szCs w:val="28"/>
        </w:rPr>
        <w:t>Компании</w:t>
      </w:r>
      <w:r>
        <w:rPr>
          <w:sz w:val="28"/>
          <w:szCs w:val="28"/>
        </w:rPr>
        <w:t>.</w:t>
      </w:r>
    </w:p>
    <w:p>
      <w:pPr>
        <w:pStyle w:val="ListParagraph"/>
        <w:numPr>
          <w:ilvl w:val="0"/>
          <w:numId w:val="3"/>
        </w:numPr>
        <w:tabs>
          <w:tab w:val="left" w:pos="0" w:leader="none"/>
        </w:tabs>
        <w:rPr>
          <w:sz w:val="28"/>
          <w:szCs w:val="28"/>
        </w:rPr>
      </w:pPr>
      <w:r>
        <w:rPr>
          <w:sz w:val="28"/>
          <w:szCs w:val="28"/>
        </w:rPr>
        <w:t>Ведение Реестра Е2У.</w:t>
      </w:r>
    </w:p>
    <w:p>
      <w:pPr>
        <w:pStyle w:val="Normal"/>
        <w:ind w:firstLine="765"/>
        <w:jc w:val="both"/>
        <w:rPr>
          <w:sz w:val="20"/>
          <w:szCs w:val="20"/>
        </w:rPr>
      </w:pPr>
      <w:r>
        <w:rPr>
          <w:sz w:val="28"/>
          <w:szCs w:val="28"/>
        </w:rPr>
        <w:t xml:space="preserve">Менеджментом </w:t>
      </w:r>
      <w:r>
        <w:rPr>
          <w:bCs/>
          <w:sz w:val="28"/>
          <w:szCs w:val="28"/>
        </w:rPr>
        <w:t>Компании</w:t>
      </w:r>
      <w:r>
        <w:rPr>
          <w:sz w:val="28"/>
          <w:szCs w:val="28"/>
        </w:rPr>
        <w:t xml:space="preserve"> должно быть обеспечено постоянное ведение Реестра Е2У. В последующем каждый принятый на баланс </w:t>
      </w:r>
      <w:r>
        <w:rPr>
          <w:bCs/>
          <w:sz w:val="28"/>
          <w:szCs w:val="28"/>
        </w:rPr>
        <w:t>Компании</w:t>
      </w:r>
      <w:r>
        <w:rPr>
          <w:sz w:val="28"/>
          <w:szCs w:val="28"/>
        </w:rPr>
        <w:t xml:space="preserve"> актив должен быть внесен в Реестр Е2У и закреплен в управленческом учете за ранее определенным (вновь созданным) Е2У не позднее последнего рабочего дня квартала, следующего за кварталом, в котором актив был принят на баланс </w:t>
      </w:r>
      <w:r>
        <w:rPr>
          <w:bCs/>
          <w:sz w:val="28"/>
          <w:szCs w:val="28"/>
        </w:rPr>
        <w:t>Компании</w:t>
      </w:r>
      <w:r>
        <w:rPr>
          <w:sz w:val="28"/>
          <w:szCs w:val="28"/>
        </w:rPr>
        <w:t>.</w:t>
      </w:r>
    </w:p>
    <w:p>
      <w:pPr>
        <w:pStyle w:val="Normal"/>
        <w:numPr>
          <w:ilvl w:val="0"/>
          <w:numId w:val="4"/>
        </w:numPr>
        <w:tabs>
          <w:tab w:val="left" w:pos="851" w:leader="none"/>
        </w:tabs>
        <w:ind w:firstLine="765"/>
        <w:rPr>
          <w:sz w:val="20"/>
          <w:szCs w:val="20"/>
        </w:rPr>
      </w:pPr>
      <w:r>
        <w:rPr>
          <w:sz w:val="28"/>
          <w:szCs w:val="28"/>
        </w:rPr>
        <w:t>Основной этап (этап определения профильности Е2У).</w:t>
      </w:r>
    </w:p>
    <w:p>
      <w:pPr>
        <w:pStyle w:val="Normal"/>
        <w:ind w:firstLine="765"/>
        <w:jc w:val="both"/>
        <w:rPr>
          <w:sz w:val="20"/>
          <w:szCs w:val="20"/>
        </w:rPr>
      </w:pPr>
      <w:r>
        <w:rPr>
          <w:sz w:val="28"/>
          <w:szCs w:val="28"/>
        </w:rPr>
        <w:t xml:space="preserve">На данном этапе проводится исследование каждой Е2У с точки зрения использования Е2У при осуществлении </w:t>
      </w:r>
      <w:r>
        <w:rPr>
          <w:bCs/>
          <w:sz w:val="28"/>
          <w:szCs w:val="28"/>
        </w:rPr>
        <w:t>Компанией</w:t>
      </w:r>
      <w:r>
        <w:rPr>
          <w:sz w:val="28"/>
          <w:szCs w:val="28"/>
        </w:rPr>
        <w:t xml:space="preserve"> основных видов деятельности или влияния на достижение целей и задач, определенных в Стратегии / ДПР с учетом критериев определения профильности Е2У, приведенных в приложении № 1 к настоящей программе (далее – Приложение № 1).</w:t>
      </w:r>
    </w:p>
    <w:p>
      <w:pPr>
        <w:pStyle w:val="Normal"/>
        <w:tabs>
          <w:tab w:val="left" w:pos="0" w:leader="none"/>
        </w:tabs>
        <w:ind w:firstLine="765"/>
        <w:jc w:val="both"/>
        <w:rPr>
          <w:sz w:val="28"/>
          <w:szCs w:val="28"/>
        </w:rPr>
      </w:pPr>
      <w:r>
        <w:rPr>
          <w:sz w:val="28"/>
          <w:szCs w:val="28"/>
        </w:rPr>
        <w:t>В случае если Е2У используется при осуществлении основных видов деятельности, она относится к профильным активам.</w:t>
      </w:r>
    </w:p>
    <w:p>
      <w:pPr>
        <w:pStyle w:val="Normal"/>
        <w:ind w:firstLine="765"/>
        <w:jc w:val="both"/>
        <w:rPr>
          <w:sz w:val="28"/>
          <w:szCs w:val="28"/>
        </w:rPr>
      </w:pPr>
      <w:r>
        <w:rPr>
          <w:sz w:val="28"/>
          <w:szCs w:val="28"/>
        </w:rPr>
        <w:t xml:space="preserve">Если Е2У не используется при осуществлении основных видов деятельности </w:t>
      </w:r>
      <w:r>
        <w:rPr>
          <w:bCs/>
          <w:sz w:val="28"/>
          <w:szCs w:val="28"/>
        </w:rPr>
        <w:t>Компании</w:t>
      </w:r>
      <w:r>
        <w:rPr>
          <w:sz w:val="28"/>
          <w:szCs w:val="28"/>
        </w:rPr>
        <w:t>, ее отнесение к профильным (либо непрофильным) осуществляется по нижеследующему алгоритму.</w:t>
      </w:r>
    </w:p>
    <w:p>
      <w:pPr>
        <w:pStyle w:val="Normal"/>
        <w:ind w:firstLine="765"/>
        <w:jc w:val="both"/>
        <w:rPr>
          <w:sz w:val="28"/>
          <w:szCs w:val="28"/>
        </w:rPr>
      </w:pPr>
      <w:r>
        <w:rPr>
          <w:sz w:val="28"/>
          <w:szCs w:val="28"/>
        </w:rPr>
        <w:t>1)</w:t>
        <w:tab/>
        <w:t>Необходимо определить степень влияния факторов, представленных в Приложении № 1, на каждую Е2У включенную в Реестр Е2У, путем выбора ответов (да – фактор оказывает влияние / нет – фактор не влияет).</w:t>
      </w:r>
    </w:p>
    <w:p>
      <w:pPr>
        <w:pStyle w:val="Normal"/>
        <w:ind w:firstLine="765"/>
        <w:jc w:val="both"/>
        <w:rPr>
          <w:sz w:val="28"/>
          <w:szCs w:val="28"/>
        </w:rPr>
      </w:pPr>
      <w:r>
        <w:rPr>
          <w:sz w:val="28"/>
          <w:szCs w:val="28"/>
        </w:rPr>
        <w:t>2)</w:t>
        <w:tab/>
        <w:t>По итогам анализа степени влияния факторов на Е2У, необходимо сопоставить получившийся результат ответов с целевыми ответами для определения профильного актива, приведенными в Приложении № 1.</w:t>
      </w:r>
    </w:p>
    <w:p>
      <w:pPr>
        <w:pStyle w:val="Normal"/>
        <w:ind w:firstLine="765"/>
        <w:jc w:val="both"/>
        <w:rPr>
          <w:sz w:val="28"/>
          <w:szCs w:val="28"/>
        </w:rPr>
      </w:pPr>
      <w:r>
        <w:rPr>
          <w:sz w:val="28"/>
          <w:szCs w:val="28"/>
        </w:rPr>
        <w:t>В случае если полученные результаты ответов совпадают с целевыми ответами, то за каждый ответ присваивается соответствующий показатель (в процентах), при несовпадении – 0.</w:t>
      </w:r>
    </w:p>
    <w:p>
      <w:pPr>
        <w:pStyle w:val="Normal"/>
        <w:ind w:firstLine="765"/>
        <w:jc w:val="both"/>
        <w:rPr>
          <w:sz w:val="28"/>
          <w:szCs w:val="28"/>
        </w:rPr>
      </w:pPr>
      <w:r>
        <w:rPr>
          <w:sz w:val="28"/>
          <w:szCs w:val="28"/>
        </w:rPr>
        <w:t>3)</w:t>
        <w:tab/>
        <w:t>Показатели (в процентах) полученные за каждый ответ, суммируются.</w:t>
      </w:r>
    </w:p>
    <w:p>
      <w:pPr>
        <w:pStyle w:val="Normal"/>
        <w:ind w:firstLine="765"/>
        <w:jc w:val="both"/>
        <w:rPr>
          <w:sz w:val="28"/>
          <w:szCs w:val="28"/>
        </w:rPr>
      </w:pPr>
      <w:r>
        <w:rPr>
          <w:sz w:val="28"/>
          <w:szCs w:val="28"/>
        </w:rPr>
        <w:t>В случае если суммарный результат составляет 50 процентов и более, то Е2У – профильная; если менее 50 процентов – непрофильная.</w:t>
      </w:r>
    </w:p>
    <w:p>
      <w:pPr>
        <w:pStyle w:val="Normal"/>
        <w:ind w:firstLine="765"/>
        <w:jc w:val="both"/>
        <w:rPr>
          <w:sz w:val="28"/>
          <w:szCs w:val="28"/>
        </w:rPr>
      </w:pPr>
      <w:r>
        <w:rPr>
          <w:sz w:val="28"/>
          <w:szCs w:val="28"/>
        </w:rPr>
        <w:t>Е2У, определенная как непрофильная, подлежит включению в РНА частично или комплексно.</w:t>
      </w:r>
    </w:p>
    <w:p>
      <w:pPr>
        <w:pStyle w:val="Normal"/>
        <w:numPr>
          <w:ilvl w:val="0"/>
          <w:numId w:val="6"/>
        </w:numPr>
        <w:tabs>
          <w:tab w:val="left" w:pos="0" w:leader="none"/>
        </w:tabs>
        <w:ind w:firstLine="765"/>
        <w:jc w:val="both"/>
        <w:rPr>
          <w:sz w:val="28"/>
          <w:szCs w:val="28"/>
        </w:rPr>
      </w:pPr>
      <w:r>
        <w:rPr>
          <w:sz w:val="28"/>
          <w:szCs w:val="28"/>
        </w:rPr>
        <w:t>Этап определения профильности активов, включенных в состав профильной Е2У.</w:t>
      </w:r>
    </w:p>
    <w:p>
      <w:pPr>
        <w:pStyle w:val="Normal"/>
        <w:ind w:firstLine="709"/>
        <w:jc w:val="both"/>
        <w:rPr>
          <w:sz w:val="28"/>
          <w:szCs w:val="28"/>
        </w:rPr>
      </w:pPr>
      <w:r>
        <w:rPr>
          <w:sz w:val="28"/>
          <w:szCs w:val="28"/>
        </w:rPr>
        <w:t xml:space="preserve">Данный этап предполагает определение целесообразности сохранения каждого из активов, входящего в состав Е2У, в отношении которой принято решение о сохранении в собственности </w:t>
      </w:r>
      <w:r>
        <w:rPr>
          <w:bCs/>
          <w:sz w:val="28"/>
          <w:szCs w:val="28"/>
        </w:rPr>
        <w:t>Компании</w:t>
      </w:r>
      <w:r>
        <w:rPr>
          <w:sz w:val="28"/>
          <w:szCs w:val="28"/>
        </w:rPr>
        <w:t xml:space="preserve"> (профильной Е2У), путем определения степени влияния (значимости) актива в составе Е2У по нижеследующему алгоритму.</w:t>
      </w:r>
    </w:p>
    <w:p>
      <w:pPr>
        <w:pStyle w:val="Normal"/>
        <w:tabs>
          <w:tab w:val="left" w:pos="0" w:leader="none"/>
        </w:tabs>
        <w:ind w:firstLine="709"/>
        <w:jc w:val="both"/>
        <w:rPr>
          <w:sz w:val="20"/>
          <w:szCs w:val="20"/>
        </w:rPr>
      </w:pPr>
      <w:r>
        <w:rPr>
          <w:sz w:val="28"/>
          <w:szCs w:val="28"/>
        </w:rPr>
        <w:t>1)</w:t>
        <w:tab/>
        <w:t>Необходимо определить степень значимости актива, включенного в состав профильного Е2У, исходя из критериев оценки, приведенных в приложении № 2 к настоящей программе (далее – Приложение № 2), путем выбора ответов (да – фактор оказывает влияние / нет – фактор не влияет).</w:t>
      </w:r>
    </w:p>
    <w:p>
      <w:pPr>
        <w:pStyle w:val="ListParagraph"/>
        <w:numPr>
          <w:ilvl w:val="0"/>
          <w:numId w:val="5"/>
        </w:numPr>
        <w:tabs>
          <w:tab w:val="left" w:pos="0" w:leader="none"/>
        </w:tabs>
        <w:ind w:left="0" w:firstLine="709"/>
        <w:jc w:val="both"/>
        <w:rPr>
          <w:sz w:val="28"/>
          <w:szCs w:val="28"/>
        </w:rPr>
      </w:pPr>
      <w:r>
        <w:rPr>
          <w:sz w:val="28"/>
          <w:szCs w:val="28"/>
        </w:rPr>
        <w:t>По результатам исследования, в случае если хотя бы 1 ответ совпадает с целевым ответом, приведенным в Приложении № 2, то актив целесообразно сохранить в составе Е2У.</w:t>
      </w:r>
    </w:p>
    <w:p>
      <w:pPr>
        <w:pStyle w:val="Normal"/>
        <w:ind w:firstLine="709"/>
        <w:jc w:val="both"/>
        <w:rPr>
          <w:sz w:val="28"/>
          <w:szCs w:val="28"/>
        </w:rPr>
      </w:pPr>
      <w:r>
        <w:rPr>
          <w:sz w:val="28"/>
          <w:szCs w:val="28"/>
        </w:rPr>
        <w:t>В случае если ни один из ответов не совпадает с целевым ответом, приведенным в Приложении № 2, актив подлежит исключению из состава профильного Е2У и самостоятельной оценке его профильности в соответствии с критериями, приведенными в Приложении № 1.</w:t>
      </w:r>
    </w:p>
    <w:p>
      <w:pPr>
        <w:pStyle w:val="Normal"/>
        <w:ind w:firstLine="709"/>
        <w:jc w:val="both"/>
        <w:rPr>
          <w:sz w:val="28"/>
          <w:szCs w:val="28"/>
        </w:rPr>
      </w:pPr>
      <w:r>
        <w:rPr>
          <w:sz w:val="28"/>
          <w:szCs w:val="28"/>
        </w:rPr>
        <w:t xml:space="preserve">Анализ по выявлению непрофильных активов (определению профильности внеоборотных активов) менеджменту </w:t>
      </w:r>
      <w:r>
        <w:rPr>
          <w:bCs/>
          <w:sz w:val="28"/>
          <w:szCs w:val="28"/>
        </w:rPr>
        <w:t>Компании</w:t>
      </w:r>
      <w:r>
        <w:rPr>
          <w:sz w:val="28"/>
          <w:szCs w:val="28"/>
        </w:rPr>
        <w:t xml:space="preserve"> следует проводить на регулярной (не реже одного раза в календарный год) основе и</w:t>
      </w:r>
      <w:r>
        <w:rPr>
          <w:strike/>
          <w:sz w:val="28"/>
          <w:szCs w:val="28"/>
        </w:rPr>
        <w:t xml:space="preserve"> </w:t>
      </w:r>
      <w:r>
        <w:rPr>
          <w:sz w:val="28"/>
          <w:szCs w:val="28"/>
        </w:rPr>
        <w:t xml:space="preserve">представлять с исчерпывающими обоснованиями на рассмотрение совету директоров (наблюдательному совету) </w:t>
      </w:r>
      <w:r>
        <w:rPr>
          <w:bCs/>
          <w:sz w:val="28"/>
          <w:szCs w:val="28"/>
        </w:rPr>
        <w:t>Компании</w:t>
      </w:r>
      <w:r>
        <w:rPr>
          <w:sz w:val="28"/>
          <w:szCs w:val="28"/>
        </w:rPr>
        <w:t>.</w:t>
      </w:r>
    </w:p>
    <w:p>
      <w:pPr>
        <w:pStyle w:val="Normal"/>
        <w:ind w:firstLine="851"/>
        <w:jc w:val="both"/>
        <w:rPr>
          <w:strike/>
          <w:sz w:val="28"/>
          <w:szCs w:val="28"/>
        </w:rPr>
      </w:pPr>
      <w:r>
        <w:rPr>
          <w:strike/>
          <w:sz w:val="28"/>
          <w:szCs w:val="28"/>
        </w:rPr>
      </w:r>
    </w:p>
    <w:p>
      <w:pPr>
        <w:pStyle w:val="Normal"/>
        <w:ind w:firstLine="765"/>
        <w:rPr>
          <w:b/>
          <w:b/>
          <w:sz w:val="28"/>
          <w:szCs w:val="28"/>
        </w:rPr>
      </w:pPr>
      <w:r>
        <w:rPr>
          <w:b/>
          <w:sz w:val="28"/>
          <w:szCs w:val="28"/>
        </w:rPr>
        <w:t>4.</w:t>
        <w:tab/>
        <w:t>Реестр непрофильных активов.</w:t>
      </w:r>
    </w:p>
    <w:p>
      <w:pPr>
        <w:pStyle w:val="Normal"/>
        <w:ind w:firstLine="851"/>
        <w:jc w:val="both"/>
        <w:rPr>
          <w:strike/>
          <w:sz w:val="28"/>
          <w:szCs w:val="28"/>
        </w:rPr>
      </w:pPr>
      <w:r>
        <w:rPr>
          <w:strike/>
          <w:sz w:val="28"/>
          <w:szCs w:val="28"/>
        </w:rPr>
      </w:r>
    </w:p>
    <w:p>
      <w:pPr>
        <w:pStyle w:val="Normal"/>
        <w:ind w:firstLine="851"/>
        <w:jc w:val="both"/>
        <w:rPr>
          <w:sz w:val="28"/>
          <w:szCs w:val="28"/>
        </w:rPr>
      </w:pPr>
      <w:r>
        <w:rPr>
          <w:sz w:val="28"/>
          <w:szCs w:val="28"/>
        </w:rPr>
        <w:t xml:space="preserve">Проект РНА разрабатывается менеджментом </w:t>
      </w:r>
      <w:r>
        <w:rPr>
          <w:bCs/>
          <w:sz w:val="28"/>
          <w:szCs w:val="28"/>
        </w:rPr>
        <w:t>Компании</w:t>
      </w:r>
      <w:r>
        <w:rPr>
          <w:sz w:val="28"/>
          <w:szCs w:val="28"/>
        </w:rPr>
        <w:t xml:space="preserve"> по результатам анализа активов (раздел 3 настоящей программы), в случае наличия у </w:t>
      </w:r>
      <w:r>
        <w:rPr>
          <w:bCs/>
          <w:sz w:val="28"/>
          <w:szCs w:val="28"/>
        </w:rPr>
        <w:t>Компании</w:t>
      </w:r>
      <w:r>
        <w:rPr>
          <w:sz w:val="28"/>
          <w:szCs w:val="28"/>
        </w:rPr>
        <w:t xml:space="preserve"> непрофильных активов.</w:t>
      </w:r>
    </w:p>
    <w:p>
      <w:pPr>
        <w:pStyle w:val="Normal"/>
        <w:ind w:firstLine="851"/>
        <w:jc w:val="both"/>
        <w:rPr>
          <w:sz w:val="28"/>
          <w:szCs w:val="28"/>
        </w:rPr>
      </w:pPr>
      <w:r>
        <w:rPr>
          <w:sz w:val="28"/>
          <w:szCs w:val="28"/>
        </w:rPr>
        <w:t>Проект РНА разрабатывается по типовой форме согласно приложению № 3 к настоящей программе (далее – Приложение № 3).</w:t>
      </w:r>
    </w:p>
    <w:p>
      <w:pPr>
        <w:pStyle w:val="Normal"/>
        <w:ind w:firstLine="851"/>
        <w:jc w:val="both"/>
        <w:rPr>
          <w:sz w:val="28"/>
          <w:szCs w:val="28"/>
        </w:rPr>
      </w:pPr>
      <w:r>
        <w:rPr>
          <w:sz w:val="28"/>
          <w:szCs w:val="28"/>
        </w:rPr>
        <w:t>Недопустимо не включать в проект РНА актив, отвечающий признакам непрофильного.</w:t>
      </w:r>
    </w:p>
    <w:p>
      <w:pPr>
        <w:pStyle w:val="Normal"/>
        <w:ind w:firstLine="851"/>
        <w:jc w:val="both"/>
        <w:rPr>
          <w:sz w:val="28"/>
          <w:szCs w:val="28"/>
        </w:rPr>
      </w:pPr>
      <w:r>
        <w:rPr>
          <w:sz w:val="28"/>
          <w:szCs w:val="28"/>
        </w:rPr>
        <w:t xml:space="preserve">Проект РНА в части непрофильных активов, подлежащих отчуждению, разрабатывается сроком не более чем на 3 года (в течение указанного срока должно быть предусмотрено совершение сделок (действий) по отчуждению непрофильных активов с учетом необходимости разумной минимизации продолжительности срока владения </w:t>
      </w:r>
      <w:r>
        <w:rPr>
          <w:bCs/>
          <w:sz w:val="28"/>
          <w:szCs w:val="28"/>
        </w:rPr>
        <w:t>Компанией</w:t>
      </w:r>
      <w:r>
        <w:rPr>
          <w:sz w:val="28"/>
          <w:szCs w:val="28"/>
        </w:rPr>
        <w:t xml:space="preserve"> соответствующими активами).</w:t>
      </w:r>
    </w:p>
    <w:p>
      <w:pPr>
        <w:pStyle w:val="Normal"/>
        <w:ind w:firstLine="851"/>
        <w:jc w:val="both"/>
        <w:rPr>
          <w:sz w:val="28"/>
          <w:szCs w:val="28"/>
        </w:rPr>
      </w:pPr>
      <w:r>
        <w:rPr>
          <w:sz w:val="28"/>
          <w:szCs w:val="28"/>
        </w:rPr>
        <w:t xml:space="preserve">По итогам рассмотрения перечня всех непрофильных активов и определения в отношении каждого из них способа распоряжения совет директоров (наблюдательный совет) </w:t>
      </w:r>
      <w:r>
        <w:rPr>
          <w:bCs/>
          <w:sz w:val="28"/>
          <w:szCs w:val="28"/>
        </w:rPr>
        <w:t>Компании</w:t>
      </w:r>
      <w:r>
        <w:rPr>
          <w:sz w:val="28"/>
          <w:szCs w:val="28"/>
        </w:rPr>
        <w:t xml:space="preserve"> утверждает РНА, который должен содержать в себе 2 раздела:</w:t>
      </w:r>
    </w:p>
    <w:p>
      <w:pPr>
        <w:pStyle w:val="Normal"/>
        <w:ind w:firstLine="851"/>
        <w:jc w:val="both"/>
        <w:rPr>
          <w:sz w:val="28"/>
          <w:szCs w:val="28"/>
        </w:rPr>
      </w:pPr>
      <w:r>
        <w:rPr>
          <w:sz w:val="28"/>
          <w:szCs w:val="28"/>
        </w:rPr>
        <w:t>1)</w:t>
        <w:tab/>
        <w:t xml:space="preserve">Перечень непрофильных активов, в отношении которых совет директоров (наблюдательный совет) </w:t>
      </w:r>
      <w:r>
        <w:rPr>
          <w:bCs/>
          <w:sz w:val="28"/>
          <w:szCs w:val="28"/>
        </w:rPr>
        <w:t>Компании</w:t>
      </w:r>
      <w:r>
        <w:rPr>
          <w:sz w:val="28"/>
          <w:szCs w:val="28"/>
        </w:rPr>
        <w:t xml:space="preserve"> определил необходимость их реализации.</w:t>
      </w:r>
    </w:p>
    <w:p>
      <w:pPr>
        <w:pStyle w:val="Normal"/>
        <w:ind w:firstLine="851"/>
        <w:jc w:val="both"/>
        <w:rPr>
          <w:sz w:val="28"/>
          <w:szCs w:val="28"/>
        </w:rPr>
      </w:pPr>
      <w:r>
        <w:rPr>
          <w:sz w:val="28"/>
          <w:szCs w:val="28"/>
        </w:rPr>
        <w:t>2)</w:t>
        <w:tab/>
        <w:t xml:space="preserve">Перечень непрофильных активов, в отношении которых совет директоров (наблюдательный совет) </w:t>
      </w:r>
      <w:r>
        <w:rPr>
          <w:bCs/>
          <w:sz w:val="28"/>
          <w:szCs w:val="28"/>
        </w:rPr>
        <w:t>Компании</w:t>
      </w:r>
      <w:r>
        <w:rPr>
          <w:sz w:val="28"/>
          <w:szCs w:val="28"/>
        </w:rPr>
        <w:t xml:space="preserve"> принял решение об их сохранении в </w:t>
      </w:r>
      <w:r>
        <w:rPr>
          <w:bCs/>
          <w:sz w:val="28"/>
          <w:szCs w:val="28"/>
        </w:rPr>
        <w:t>Компании</w:t>
      </w:r>
      <w:r>
        <w:rPr>
          <w:sz w:val="28"/>
          <w:szCs w:val="28"/>
        </w:rPr>
        <w:t xml:space="preserve"> (в случае если указанная категория непрофильных активов была выявлена менеджментом </w:t>
      </w:r>
      <w:r>
        <w:rPr>
          <w:bCs/>
          <w:sz w:val="28"/>
          <w:szCs w:val="28"/>
        </w:rPr>
        <w:t>Компании</w:t>
      </w:r>
      <w:r>
        <w:rPr>
          <w:sz w:val="28"/>
          <w:szCs w:val="28"/>
        </w:rPr>
        <w:t>).</w:t>
      </w:r>
    </w:p>
    <w:p>
      <w:pPr>
        <w:pStyle w:val="Normal"/>
        <w:ind w:firstLine="851"/>
        <w:jc w:val="both"/>
        <w:rPr>
          <w:sz w:val="28"/>
          <w:szCs w:val="28"/>
        </w:rPr>
      </w:pPr>
      <w:r>
        <w:rPr>
          <w:sz w:val="28"/>
          <w:szCs w:val="28"/>
        </w:rPr>
        <w:t xml:space="preserve">Каждый из перечисленных разделов РНА </w:t>
      </w:r>
      <w:r>
        <w:rPr>
          <w:bCs/>
          <w:sz w:val="28"/>
          <w:szCs w:val="28"/>
        </w:rPr>
        <w:t>Компании</w:t>
      </w:r>
      <w:r>
        <w:rPr>
          <w:sz w:val="28"/>
          <w:szCs w:val="28"/>
        </w:rPr>
        <w:t xml:space="preserve"> должен содержать в обязательном порядке следующую информацию по каждому непрофильному активу:</w:t>
      </w:r>
    </w:p>
    <w:p>
      <w:pPr>
        <w:pStyle w:val="Normal"/>
        <w:ind w:firstLine="851"/>
        <w:jc w:val="both"/>
        <w:rPr>
          <w:sz w:val="28"/>
          <w:szCs w:val="28"/>
        </w:rPr>
      </w:pPr>
      <w:r>
        <w:rPr>
          <w:sz w:val="28"/>
          <w:szCs w:val="28"/>
        </w:rPr>
        <w:t>-</w:t>
        <w:tab/>
        <w:t>наименование непрофильного актива;</w:t>
      </w:r>
    </w:p>
    <w:p>
      <w:pPr>
        <w:pStyle w:val="Normal"/>
        <w:ind w:firstLine="851"/>
        <w:jc w:val="both"/>
        <w:rPr>
          <w:sz w:val="28"/>
          <w:szCs w:val="28"/>
        </w:rPr>
      </w:pPr>
      <w:r>
        <w:rPr>
          <w:sz w:val="28"/>
          <w:szCs w:val="28"/>
        </w:rPr>
        <w:t>-</w:t>
        <w:tab/>
        <w:t>средства идентификации непрофильного актива;</w:t>
      </w:r>
    </w:p>
    <w:p>
      <w:pPr>
        <w:pStyle w:val="Normal"/>
        <w:ind w:firstLine="851"/>
        <w:jc w:val="both"/>
        <w:rPr>
          <w:sz w:val="28"/>
          <w:szCs w:val="28"/>
        </w:rPr>
      </w:pPr>
      <w:r>
        <w:rPr>
          <w:sz w:val="28"/>
          <w:szCs w:val="28"/>
        </w:rPr>
        <w:t>-</w:t>
        <w:tab/>
        <w:t>вид деятельности, к которой относится использование непрофильного актива;</w:t>
      </w:r>
    </w:p>
    <w:p>
      <w:pPr>
        <w:pStyle w:val="Normal"/>
        <w:ind w:firstLine="851"/>
        <w:jc w:val="both"/>
        <w:rPr>
          <w:sz w:val="28"/>
          <w:szCs w:val="28"/>
        </w:rPr>
      </w:pPr>
      <w:r>
        <w:rPr>
          <w:sz w:val="28"/>
          <w:szCs w:val="28"/>
        </w:rPr>
        <w:t>-</w:t>
        <w:tab/>
        <w:t>остаточная (балансовая) стоимость непрофильного актива по состоянию на последнюю отчетную дату;</w:t>
      </w:r>
    </w:p>
    <w:p>
      <w:pPr>
        <w:pStyle w:val="Normal"/>
        <w:ind w:firstLine="851"/>
        <w:jc w:val="both"/>
        <w:rPr>
          <w:sz w:val="28"/>
          <w:szCs w:val="28"/>
        </w:rPr>
      </w:pPr>
      <w:r>
        <w:rPr>
          <w:sz w:val="28"/>
          <w:szCs w:val="28"/>
        </w:rPr>
        <w:t>-</w:t>
        <w:tab/>
        <w:t>планируемый способ реализации/сохранения непрофильного актива;</w:t>
      </w:r>
    </w:p>
    <w:p>
      <w:pPr>
        <w:pStyle w:val="Normal"/>
        <w:ind w:firstLine="851"/>
        <w:jc w:val="both"/>
        <w:rPr>
          <w:sz w:val="28"/>
          <w:szCs w:val="28"/>
        </w:rPr>
      </w:pPr>
      <w:r>
        <w:rPr>
          <w:sz w:val="28"/>
          <w:szCs w:val="28"/>
        </w:rPr>
        <w:t>-</w:t>
        <w:tab/>
        <w:t>описание и сведения о правоустанавливающих документах и обременениях.</w:t>
      </w:r>
    </w:p>
    <w:p>
      <w:pPr>
        <w:pStyle w:val="Normal"/>
        <w:ind w:firstLine="851"/>
        <w:jc w:val="both"/>
        <w:rPr>
          <w:sz w:val="28"/>
          <w:szCs w:val="28"/>
        </w:rPr>
      </w:pPr>
      <w:r>
        <w:rPr>
          <w:sz w:val="28"/>
          <w:szCs w:val="28"/>
        </w:rPr>
        <w:t xml:space="preserve">В первый раз на основании настоящей программы вопрос об утверждении (актуализации/утверждении в новой редакции) РНА менеджмент </w:t>
      </w:r>
      <w:r>
        <w:rPr>
          <w:bCs/>
          <w:sz w:val="28"/>
          <w:szCs w:val="28"/>
        </w:rPr>
        <w:t>Компании</w:t>
      </w:r>
      <w:r>
        <w:rPr>
          <w:sz w:val="28"/>
          <w:szCs w:val="28"/>
        </w:rPr>
        <w:t xml:space="preserve"> выносит на рассмотрение советом директоров (наблюдательным советом) </w:t>
      </w:r>
      <w:r>
        <w:rPr>
          <w:bCs/>
          <w:sz w:val="28"/>
          <w:szCs w:val="28"/>
        </w:rPr>
        <w:t>Компании</w:t>
      </w:r>
      <w:r>
        <w:rPr>
          <w:sz w:val="28"/>
          <w:szCs w:val="28"/>
        </w:rPr>
        <w:t xml:space="preserve"> совместно с вопросом об утверждении настоящей программы.</w:t>
      </w:r>
    </w:p>
    <w:p>
      <w:pPr>
        <w:pStyle w:val="Normal"/>
        <w:ind w:firstLine="851"/>
        <w:jc w:val="both"/>
        <w:rPr>
          <w:sz w:val="28"/>
          <w:szCs w:val="28"/>
        </w:rPr>
      </w:pPr>
      <w:r>
        <w:rPr>
          <w:sz w:val="28"/>
          <w:szCs w:val="28"/>
        </w:rPr>
        <w:t xml:space="preserve">В случае отсутствия непрофильных активов менеджмент </w:t>
      </w:r>
      <w:r>
        <w:rPr>
          <w:bCs/>
          <w:sz w:val="28"/>
          <w:szCs w:val="28"/>
        </w:rPr>
        <w:t>Компании</w:t>
      </w:r>
      <w:r>
        <w:rPr>
          <w:sz w:val="28"/>
          <w:szCs w:val="28"/>
        </w:rPr>
        <w:t xml:space="preserve"> ежегодно выносит на рассмотрение советом директоров (наблюдательным советом) </w:t>
      </w:r>
      <w:r>
        <w:rPr>
          <w:bCs/>
          <w:sz w:val="28"/>
          <w:szCs w:val="28"/>
        </w:rPr>
        <w:t>Компании</w:t>
      </w:r>
      <w:r>
        <w:rPr>
          <w:sz w:val="28"/>
          <w:szCs w:val="28"/>
        </w:rPr>
        <w:t xml:space="preserve"> вопрос о нецелесообразности утверждения РНА в связи с отсутствием непрофильных активов с таким расчетом, чтобы соответствующий вопрос был рассмотрен (принято решение) не позднее последнего рабочего дня соответствующего календарного года.</w:t>
      </w:r>
    </w:p>
    <w:p>
      <w:pPr>
        <w:pStyle w:val="Normal"/>
        <w:ind w:firstLine="851"/>
        <w:jc w:val="both"/>
        <w:rPr>
          <w:sz w:val="28"/>
          <w:szCs w:val="28"/>
        </w:rPr>
      </w:pPr>
      <w:r>
        <w:rPr>
          <w:sz w:val="28"/>
          <w:szCs w:val="28"/>
        </w:rPr>
        <w:t xml:space="preserve">При этом позиция менеджмента об отсутствии непрофильных активов у Компании должна быть аргументирована в пояснительной записке к материалам совета директоров (наблюдательного совета) Компании указанием на результаты вышеуказанного анализа активов (раздел 3 настоящей программ). </w:t>
      </w:r>
    </w:p>
    <w:p>
      <w:pPr>
        <w:pStyle w:val="Normal"/>
        <w:ind w:firstLine="851"/>
        <w:jc w:val="both"/>
        <w:rPr>
          <w:sz w:val="28"/>
          <w:szCs w:val="28"/>
        </w:rPr>
      </w:pPr>
      <w:r>
        <w:rPr>
          <w:sz w:val="28"/>
          <w:szCs w:val="28"/>
        </w:rPr>
        <w:t xml:space="preserve">Недопустимо не выносить на рассмотрение советом директоров (наблюдательным советом) </w:t>
      </w:r>
      <w:r>
        <w:rPr>
          <w:bCs/>
          <w:sz w:val="28"/>
          <w:szCs w:val="28"/>
        </w:rPr>
        <w:t>Компании</w:t>
      </w:r>
      <w:r>
        <w:rPr>
          <w:sz w:val="28"/>
          <w:szCs w:val="28"/>
        </w:rPr>
        <w:t xml:space="preserve"> вопрос о целесообразности/ нецелесообразности утверждения РНА лишь на основании позиции менеджмента Компании об отсутствии непрофильных активов.</w:t>
      </w:r>
    </w:p>
    <w:p>
      <w:pPr>
        <w:pStyle w:val="Normal"/>
        <w:ind w:firstLine="851"/>
        <w:jc w:val="both"/>
        <w:rPr>
          <w:sz w:val="28"/>
          <w:szCs w:val="28"/>
        </w:rPr>
      </w:pPr>
      <w:r>
        <w:rPr>
          <w:sz w:val="28"/>
          <w:szCs w:val="28"/>
        </w:rPr>
        <w:t xml:space="preserve">РНА подлежит актуализации/корректировке/утверждению (в т.ч. в новой редакции) на совете директоров (наблюдательном совете) </w:t>
      </w:r>
      <w:r>
        <w:rPr>
          <w:bCs/>
          <w:sz w:val="28"/>
          <w:szCs w:val="28"/>
        </w:rPr>
        <w:t>Компании</w:t>
      </w:r>
      <w:r>
        <w:rPr>
          <w:sz w:val="28"/>
          <w:szCs w:val="28"/>
        </w:rPr>
        <w:t xml:space="preserve"> в случае выявления менеджментом </w:t>
      </w:r>
      <w:r>
        <w:rPr>
          <w:bCs/>
          <w:sz w:val="28"/>
          <w:szCs w:val="28"/>
        </w:rPr>
        <w:t>Компании</w:t>
      </w:r>
      <w:r>
        <w:rPr>
          <w:sz w:val="28"/>
          <w:szCs w:val="28"/>
        </w:rPr>
        <w:t xml:space="preserve"> новых непрофильных активов или выявления менеджментом </w:t>
      </w:r>
      <w:r>
        <w:rPr>
          <w:bCs/>
          <w:sz w:val="28"/>
          <w:szCs w:val="28"/>
        </w:rPr>
        <w:t>Компании</w:t>
      </w:r>
      <w:r>
        <w:rPr>
          <w:sz w:val="28"/>
          <w:szCs w:val="28"/>
        </w:rPr>
        <w:t xml:space="preserve"> целесообразности реализации тех непрофильных активов, в отношении которых РНА предусмотрено действие по сохранению, или по итогам завершения срока выполнения действующей программы (Плана мероприятий) – если остаются непрофильные активы, подлежащие реализации.</w:t>
      </w:r>
    </w:p>
    <w:p>
      <w:pPr>
        <w:pStyle w:val="Normal"/>
        <w:ind w:firstLine="851"/>
        <w:jc w:val="both"/>
        <w:rPr>
          <w:sz w:val="28"/>
          <w:szCs w:val="28"/>
        </w:rPr>
      </w:pPr>
      <w:r>
        <w:rPr>
          <w:sz w:val="28"/>
          <w:szCs w:val="28"/>
        </w:rPr>
        <w:t>В таких случаях менеджмент Компании выносит на рассмотрение советом директоров (наблюдательным советом) Компании вопрос об  актуализации/корректировке/утверждении РНА (в т.ч. в новой редакции) с таким расчетом, чтобы он был рассмотрен (принято решение) на ближайшем заседании соответствующего органа управления, но в любом случае не позднее 2-х месяцев с даты выявления новых непрофильных активов или выявления целесообразности реализации непрофильных активов или даты завершения срока выполнения Плана мероприятий соответственно.</w:t>
      </w:r>
    </w:p>
    <w:p>
      <w:pPr>
        <w:pStyle w:val="Normal"/>
        <w:ind w:firstLine="851"/>
        <w:jc w:val="both"/>
        <w:rPr>
          <w:sz w:val="28"/>
          <w:szCs w:val="28"/>
        </w:rPr>
      </w:pPr>
      <w:r>
        <w:rPr>
          <w:sz w:val="28"/>
          <w:szCs w:val="28"/>
        </w:rPr>
      </w:r>
    </w:p>
    <w:p>
      <w:pPr>
        <w:pStyle w:val="Normal"/>
        <w:ind w:firstLine="765"/>
        <w:rPr>
          <w:b/>
          <w:b/>
          <w:sz w:val="28"/>
          <w:szCs w:val="28"/>
        </w:rPr>
      </w:pPr>
      <w:r>
        <w:rPr>
          <w:b/>
          <w:sz w:val="28"/>
          <w:szCs w:val="28"/>
        </w:rPr>
        <w:t>5.</w:t>
        <w:tab/>
        <w:t>План мероприятий по реализации непрофильных активов.</w:t>
      </w:r>
    </w:p>
    <w:p>
      <w:pPr>
        <w:pStyle w:val="Normal"/>
        <w:ind w:firstLine="851"/>
        <w:jc w:val="both"/>
        <w:rPr>
          <w:sz w:val="28"/>
          <w:szCs w:val="28"/>
        </w:rPr>
      </w:pPr>
      <w:r>
        <w:rPr>
          <w:sz w:val="28"/>
          <w:szCs w:val="28"/>
        </w:rPr>
      </w:r>
    </w:p>
    <w:p>
      <w:pPr>
        <w:pStyle w:val="Normal"/>
        <w:ind w:firstLine="851"/>
        <w:jc w:val="both"/>
        <w:rPr>
          <w:sz w:val="28"/>
          <w:szCs w:val="28"/>
        </w:rPr>
      </w:pPr>
      <w:r>
        <w:rPr>
          <w:sz w:val="28"/>
          <w:szCs w:val="28"/>
        </w:rPr>
        <w:t>Вместе с разработкой проекта РНА (проекта актуализации/ корректировки/новой редакции РНА) менеджменту Компании, при выявлении непрофильных активов подлежащих реализации, надлежит разрабатывать проект Плана мероприятий сроком действия не более чем 3 года с поквартальной детализацией (до даты конечной реализации активов).</w:t>
      </w:r>
    </w:p>
    <w:p>
      <w:pPr>
        <w:pStyle w:val="Normal"/>
        <w:ind w:firstLine="851"/>
        <w:jc w:val="both"/>
        <w:rPr>
          <w:sz w:val="28"/>
          <w:szCs w:val="28"/>
        </w:rPr>
      </w:pPr>
      <w:r>
        <w:rPr>
          <w:sz w:val="28"/>
          <w:szCs w:val="28"/>
        </w:rPr>
        <w:t>Проект Плана мероприятий разрабатывается по рекомендуемой форме согласно приложению № 4 к настоящей программе (далее – Приложение № 4).</w:t>
      </w:r>
    </w:p>
    <w:p>
      <w:pPr>
        <w:pStyle w:val="Normal"/>
        <w:ind w:firstLine="851"/>
        <w:jc w:val="both"/>
        <w:rPr>
          <w:sz w:val="28"/>
          <w:szCs w:val="28"/>
        </w:rPr>
      </w:pPr>
      <w:r>
        <w:rPr>
          <w:sz w:val="28"/>
          <w:szCs w:val="28"/>
        </w:rPr>
        <w:t>В Плане мероприятий должны содержаться экономическое обоснование реализации всех включенных в проект РНА непрофильных активов, подлежащих реализации, с расчетными данными об ожидаемом экономическом эффекте от реализации, указание на возможные прочие выгоды и положительные влияния для хода реализации Стратегии / ДПР Компании (при наличии таких документов у Компании) от реализации непрофильных активов.</w:t>
      </w:r>
    </w:p>
    <w:p>
      <w:pPr>
        <w:pStyle w:val="Normal"/>
        <w:ind w:firstLine="851"/>
        <w:jc w:val="both"/>
        <w:rPr>
          <w:sz w:val="28"/>
          <w:szCs w:val="28"/>
        </w:rPr>
      </w:pPr>
      <w:r>
        <w:rPr>
          <w:sz w:val="28"/>
          <w:szCs w:val="28"/>
        </w:rPr>
        <w:t>Расчет ожидаемого экономического эффекта от реализации  непрофильных активов осуществляется с использованием рекомендуемой формы расчета согласно соответствующему приложению к рекомендуемой форме Плана мероприятий.</w:t>
      </w:r>
    </w:p>
    <w:p>
      <w:pPr>
        <w:pStyle w:val="Normal"/>
        <w:ind w:firstLine="851"/>
        <w:jc w:val="both"/>
        <w:rPr>
          <w:sz w:val="28"/>
          <w:szCs w:val="28"/>
        </w:rPr>
      </w:pPr>
      <w:r>
        <w:rPr>
          <w:sz w:val="28"/>
          <w:szCs w:val="28"/>
        </w:rPr>
        <w:t>В первый раз на основании настоящей программы менеджмент Компании выносит на рассмотрение советом директоров (наблюдательным советом) Компании вопрос об утверждении Плана мероприятий совместно с вопросом об утверждении РНА (в первый раз на основании настоящей программы).</w:t>
      </w:r>
    </w:p>
    <w:p>
      <w:pPr>
        <w:pStyle w:val="Normal"/>
        <w:ind w:firstLine="851"/>
        <w:jc w:val="both"/>
        <w:rPr>
          <w:sz w:val="28"/>
          <w:szCs w:val="28"/>
        </w:rPr>
      </w:pPr>
      <w:r>
        <w:rPr>
          <w:sz w:val="28"/>
          <w:szCs w:val="28"/>
        </w:rPr>
        <w:t>План мероприятий подлежит обязательной актуализации/корректировке /утверждению (в т.ч. в новой редакции) в случае корректировки РНА, а также ежегодно вне зависимости от необходимости корректировки РНА.</w:t>
      </w:r>
    </w:p>
    <w:p>
      <w:pPr>
        <w:pStyle w:val="Normal"/>
        <w:ind w:firstLine="851"/>
        <w:jc w:val="both"/>
        <w:rPr>
          <w:sz w:val="28"/>
          <w:szCs w:val="28"/>
        </w:rPr>
      </w:pPr>
      <w:r>
        <w:rPr>
          <w:sz w:val="28"/>
          <w:szCs w:val="28"/>
        </w:rPr>
        <w:t>Менеджмент Компании выносит на рассмотрение советом директоров (наблюдательным советом) Компании вопрос о ежегодной актуализации/ корректировке/утверждению (в т.ч. в новой редакции) Плана мероприятий с таким расчетом, чтобы соответствующий вопрос был рассмотрен (принято решение) не позднее последнего рабочего дня соответствующего календарного года.</w:t>
      </w:r>
    </w:p>
    <w:p>
      <w:pPr>
        <w:pStyle w:val="Normal"/>
        <w:ind w:firstLine="851"/>
        <w:jc w:val="both"/>
        <w:rPr>
          <w:sz w:val="28"/>
          <w:szCs w:val="28"/>
        </w:rPr>
      </w:pPr>
      <w:r>
        <w:rPr>
          <w:sz w:val="28"/>
          <w:szCs w:val="28"/>
        </w:rPr>
        <w:t>Проект Плана мероприятий (в том числе для целей актуализации/ корректировки/утверждения (в т.ч. в новой редакции)) должен содержать экономические данные (значения) актуального бизнес-плана Компании.</w:t>
      </w:r>
    </w:p>
    <w:p>
      <w:pPr>
        <w:pStyle w:val="Normal"/>
        <w:ind w:firstLine="851"/>
        <w:jc w:val="both"/>
        <w:rPr>
          <w:sz w:val="28"/>
          <w:szCs w:val="28"/>
        </w:rPr>
      </w:pPr>
      <w:r>
        <w:rPr>
          <w:sz w:val="28"/>
          <w:szCs w:val="28"/>
        </w:rPr>
        <w:t>Менеджменту Компании надлежит осуществлять ежеквартальную выверку актуальности запланированных экономических ожиданий от продаж, подлежащих реализации непрофильных активов с учетом рыночной конъюнктуры.</w:t>
      </w:r>
    </w:p>
    <w:p>
      <w:pPr>
        <w:pStyle w:val="Normal"/>
        <w:ind w:firstLine="851"/>
        <w:jc w:val="both"/>
        <w:rPr>
          <w:sz w:val="28"/>
          <w:szCs w:val="28"/>
        </w:rPr>
      </w:pPr>
      <w:r>
        <w:rPr>
          <w:sz w:val="28"/>
          <w:szCs w:val="28"/>
        </w:rPr>
        <w:t>Кроме того, при наличии в РНА активов, в отношении которых предусмотрены действия по сохранению, менеджменту Компании надлежит осуществлять ежеквартальную оценку целесообразности продолжения сохранения таких активов. При выявлении целесообразности реализации таких  непрофильных активов, менеджмент Компании выносит на рассмотрение советом директоров (наблюдательным советом) соответствующий вопрос в порядке, предусмотренном разделом 4 настоящей программы.</w:t>
      </w:r>
    </w:p>
    <w:p>
      <w:pPr>
        <w:pStyle w:val="Normal"/>
        <w:jc w:val="both"/>
        <w:rPr>
          <w:sz w:val="28"/>
          <w:szCs w:val="28"/>
        </w:rPr>
      </w:pPr>
      <w:r>
        <w:rPr>
          <w:sz w:val="28"/>
          <w:szCs w:val="28"/>
        </w:rPr>
      </w:r>
    </w:p>
    <w:p>
      <w:pPr>
        <w:pStyle w:val="Normal"/>
        <w:ind w:firstLine="765"/>
        <w:rPr>
          <w:b/>
          <w:b/>
          <w:sz w:val="28"/>
          <w:szCs w:val="28"/>
        </w:rPr>
      </w:pPr>
      <w:r>
        <w:rPr>
          <w:b/>
          <w:sz w:val="28"/>
          <w:szCs w:val="28"/>
        </w:rPr>
        <w:t>6.</w:t>
        <w:tab/>
        <w:t>Порядок оценки непрофильных активов.</w:t>
      </w:r>
    </w:p>
    <w:p>
      <w:pPr>
        <w:pStyle w:val="Normal"/>
        <w:ind w:firstLine="709"/>
        <w:rPr>
          <w:sz w:val="28"/>
          <w:szCs w:val="28"/>
        </w:rPr>
      </w:pPr>
      <w:r>
        <w:rPr>
          <w:sz w:val="28"/>
          <w:szCs w:val="28"/>
        </w:rPr>
      </w:r>
    </w:p>
    <w:p>
      <w:pPr>
        <w:pStyle w:val="Normal"/>
        <w:widowControl w:val="false"/>
        <w:overflowPunct w:val="true"/>
        <w:spacing w:lineRule="auto" w:line="254"/>
        <w:ind w:right="20" w:firstLine="709"/>
        <w:jc w:val="both"/>
        <w:rPr>
          <w:sz w:val="28"/>
          <w:szCs w:val="28"/>
        </w:rPr>
      </w:pPr>
      <w:r>
        <w:rPr>
          <w:sz w:val="28"/>
          <w:szCs w:val="28"/>
        </w:rPr>
        <w:t>Начальная цена или цена продажи непрофильного актива определяется на основании отчета независимого оценщика, составленного по стандартам в соответствии с требованиями законодательства Российской Федерации и (или) законодательства государства местонахождения непрофильного актива.</w:t>
      </w:r>
    </w:p>
    <w:p>
      <w:pPr>
        <w:pStyle w:val="Normal"/>
        <w:widowControl w:val="false"/>
        <w:overflowPunct w:val="true"/>
        <w:ind w:firstLine="709"/>
        <w:jc w:val="both"/>
        <w:rPr>
          <w:sz w:val="28"/>
          <w:szCs w:val="28"/>
        </w:rPr>
      </w:pPr>
      <w:r>
        <w:rPr>
          <w:sz w:val="28"/>
          <w:szCs w:val="28"/>
        </w:rPr>
        <w:t>Определение начальной цены или цены продажи непрофильного актива, расположенного за рубежом, производится на основании отчета российского или иностранного независимого оценщика, привлекаемого на конкурентной основе.</w:t>
      </w:r>
    </w:p>
    <w:p>
      <w:pPr>
        <w:pStyle w:val="Normal"/>
        <w:widowControl w:val="false"/>
        <w:overflowPunct w:val="true"/>
        <w:ind w:firstLine="709"/>
        <w:jc w:val="both"/>
        <w:rPr>
          <w:sz w:val="28"/>
          <w:szCs w:val="28"/>
        </w:rPr>
      </w:pPr>
      <w:r>
        <w:rPr>
          <w:sz w:val="28"/>
          <w:szCs w:val="28"/>
        </w:rPr>
        <w:t>Привлечение независимого оценщика осуществляется в соответствии внутренним нормативным документом Компании</w:t>
      </w:r>
      <w:r>
        <w:rPr>
          <w:i/>
          <w:sz w:val="28"/>
          <w:szCs w:val="28"/>
        </w:rPr>
        <w:t>.</w:t>
      </w:r>
    </w:p>
    <w:p>
      <w:pPr>
        <w:pStyle w:val="Normal"/>
        <w:widowControl w:val="false"/>
        <w:overflowPunct w:val="true"/>
        <w:ind w:firstLine="709"/>
        <w:jc w:val="both"/>
        <w:rPr>
          <w:sz w:val="28"/>
          <w:szCs w:val="28"/>
        </w:rPr>
      </w:pPr>
      <w:r>
        <w:rPr>
          <w:sz w:val="28"/>
          <w:szCs w:val="28"/>
        </w:rPr>
        <w:t>В соответствии с отдельным решением совета директоров (наблюдательного совета) Компании допускается реализация непрофильного актива по цене ниже балансовой стоимости.</w:t>
      </w:r>
    </w:p>
    <w:p>
      <w:pPr>
        <w:pStyle w:val="Normal"/>
        <w:ind w:firstLine="709"/>
        <w:jc w:val="both"/>
        <w:rPr>
          <w:sz w:val="28"/>
          <w:szCs w:val="28"/>
        </w:rPr>
      </w:pPr>
      <w:r>
        <w:rPr>
          <w:sz w:val="28"/>
          <w:szCs w:val="28"/>
        </w:rPr>
      </w:r>
    </w:p>
    <w:p>
      <w:pPr>
        <w:pStyle w:val="Normal"/>
        <w:ind w:firstLine="709"/>
        <w:jc w:val="both"/>
        <w:rPr>
          <w:b/>
          <w:b/>
          <w:sz w:val="28"/>
          <w:szCs w:val="28"/>
        </w:rPr>
      </w:pPr>
      <w:r>
        <w:rPr>
          <w:b/>
          <w:sz w:val="28"/>
          <w:szCs w:val="28"/>
        </w:rPr>
        <w:t xml:space="preserve">7. </w:t>
        <w:tab/>
        <w:t>Способы и порядок реализации непрофильных активов.</w:t>
      </w:r>
    </w:p>
    <w:p>
      <w:pPr>
        <w:pStyle w:val="Normal"/>
        <w:ind w:firstLine="709"/>
        <w:rPr>
          <w:sz w:val="28"/>
          <w:szCs w:val="28"/>
        </w:rPr>
      </w:pPr>
      <w:r>
        <w:rPr>
          <w:sz w:val="28"/>
          <w:szCs w:val="28"/>
        </w:rPr>
      </w:r>
    </w:p>
    <w:p>
      <w:pPr>
        <w:pStyle w:val="Normal"/>
        <w:ind w:firstLine="709"/>
        <w:jc w:val="both"/>
        <w:rPr>
          <w:sz w:val="28"/>
          <w:szCs w:val="28"/>
        </w:rPr>
      </w:pPr>
      <w:r>
        <w:rPr>
          <w:sz w:val="28"/>
          <w:szCs w:val="28"/>
        </w:rPr>
        <w:t>Реализация непрофильного актива – это либо передача Компанией прав на него сторонним лицам (отчуждение), либо его ликвидация, либо отказ от права на непрофильный актив</w:t>
      </w:r>
      <w:r>
        <w:rPr>
          <w:rStyle w:val="Style15"/>
          <w:sz w:val="28"/>
          <w:szCs w:val="28"/>
        </w:rPr>
        <w:footnoteReference w:id="5"/>
      </w:r>
      <w:r>
        <w:rPr>
          <w:sz w:val="28"/>
          <w:szCs w:val="28"/>
        </w:rPr>
        <w:t>.</w:t>
      </w:r>
    </w:p>
    <w:p>
      <w:pPr>
        <w:pStyle w:val="Normal"/>
        <w:ind w:firstLine="709"/>
        <w:jc w:val="both"/>
        <w:rPr>
          <w:sz w:val="28"/>
          <w:szCs w:val="28"/>
        </w:rPr>
      </w:pPr>
      <w:r>
        <w:rPr>
          <w:sz w:val="28"/>
          <w:szCs w:val="28"/>
        </w:rPr>
        <w:t>Реализация предполагает следующие конкретные способы распоряжения непрофильным активом:</w:t>
      </w:r>
    </w:p>
    <w:p>
      <w:pPr>
        <w:pStyle w:val="Normal"/>
        <w:ind w:firstLine="709"/>
        <w:jc w:val="both"/>
        <w:rPr>
          <w:sz w:val="28"/>
          <w:szCs w:val="28"/>
        </w:rPr>
      </w:pPr>
      <w:r>
        <w:rPr>
          <w:sz w:val="28"/>
          <w:szCs w:val="28"/>
        </w:rPr>
        <w:t xml:space="preserve"> </w:t>
      </w:r>
      <w:r>
        <w:rPr>
          <w:sz w:val="28"/>
          <w:szCs w:val="28"/>
        </w:rPr>
        <w:t>а)</w:t>
        <w:tab/>
        <w:t>продажа (мена) – возмездное отчуждение непрофильного актива в собственность иного лица полностью или частично, либо доли в праве собственности на непрофильный актив, передача по договору аренды с правом выкупа, а также отчуждение по инвестиционному соглашению (договору), в качестве взноса по договору простого товарищества или внесение непрофильного актива в оплату уставного капитала юридического лица, в котором Компания не является единственным участником при условии, что в результате указанных сделок Компания приобретает права на актив (активы), являющиеся для Компании профильными;</w:t>
      </w:r>
    </w:p>
    <w:p>
      <w:pPr>
        <w:pStyle w:val="Normal"/>
        <w:ind w:firstLine="709"/>
        <w:jc w:val="both"/>
        <w:rPr>
          <w:sz w:val="28"/>
          <w:szCs w:val="28"/>
        </w:rPr>
      </w:pPr>
      <w:r>
        <w:rPr>
          <w:sz w:val="28"/>
          <w:szCs w:val="28"/>
        </w:rPr>
        <w:t>б)</w:t>
        <w:tab/>
        <w:t>безвозмездная передача (в том числе, дарение) – безвозмездное отчуждение непрофильного актива в собственность Российской Федерации, субъектов Российской Федерации, муниципальных образований, в случае если передача такого актива обеспечивает реализацию полномочий органов государственной власти Российской Федерации, органов государственной власти субъектов Российской Федерации или органов местного самоуправления;</w:t>
      </w:r>
    </w:p>
    <w:p>
      <w:pPr>
        <w:pStyle w:val="Normal"/>
        <w:ind w:firstLine="709"/>
        <w:jc w:val="both"/>
        <w:rPr>
          <w:sz w:val="28"/>
          <w:szCs w:val="28"/>
        </w:rPr>
      </w:pPr>
      <w:r>
        <w:rPr>
          <w:sz w:val="28"/>
          <w:szCs w:val="28"/>
        </w:rPr>
        <w:t>в)</w:t>
        <w:tab/>
        <w:t>ликвидация – разукомплектование, списание, уничтожение и т.д. непрофильного актива, в том числе с возможностью последующей продажи отдельных составляющих в случаях, если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 либо выбыло из владения, пользования и распоряжения вследствие гибели или уничтожения, в том числе помимо воли владельца, а также вследствие невозможности установления его местонахождения;</w:t>
      </w:r>
    </w:p>
    <w:p>
      <w:pPr>
        <w:pStyle w:val="Normal"/>
        <w:ind w:firstLine="709"/>
        <w:jc w:val="both"/>
        <w:rPr>
          <w:sz w:val="28"/>
          <w:szCs w:val="28"/>
        </w:rPr>
      </w:pPr>
      <w:r>
        <w:rPr>
          <w:sz w:val="28"/>
          <w:szCs w:val="28"/>
        </w:rPr>
        <w:t>г)</w:t>
        <w:tab/>
        <w:t>отказ от права – отказ от существующего права либо доли в праве.</w:t>
      </w:r>
    </w:p>
    <w:p>
      <w:pPr>
        <w:pStyle w:val="Normal"/>
        <w:ind w:firstLine="709"/>
        <w:jc w:val="both"/>
        <w:rPr>
          <w:sz w:val="28"/>
          <w:szCs w:val="28"/>
        </w:rPr>
      </w:pPr>
      <w:r>
        <w:rPr>
          <w:sz w:val="28"/>
          <w:szCs w:val="28"/>
        </w:rPr>
        <w:t>Основными принципами продажи непрофильных активов являются: публичность, открытость, прозрачность, конкурентность, возмездность, обоснованность цены продажи.</w:t>
      </w:r>
    </w:p>
    <w:p>
      <w:pPr>
        <w:pStyle w:val="Normal"/>
        <w:ind w:firstLine="709"/>
        <w:jc w:val="both"/>
        <w:rPr>
          <w:sz w:val="28"/>
          <w:szCs w:val="28"/>
        </w:rPr>
      </w:pPr>
      <w:r>
        <w:rPr>
          <w:sz w:val="28"/>
          <w:szCs w:val="28"/>
        </w:rPr>
        <w:t>В целях обеспечения конкурентного характера возмездного отчуждения непрофильных активов, их продажа осуществляется путем проведения конкурентных процедур, если иное не предусмотрено законодательством (например, преимущественное право покупки и прочее).</w:t>
      </w:r>
    </w:p>
    <w:p>
      <w:pPr>
        <w:pStyle w:val="Normal"/>
        <w:ind w:firstLine="709"/>
        <w:jc w:val="both"/>
        <w:rPr>
          <w:sz w:val="28"/>
          <w:szCs w:val="28"/>
        </w:rPr>
      </w:pPr>
      <w:r>
        <w:rPr>
          <w:sz w:val="28"/>
          <w:szCs w:val="28"/>
        </w:rPr>
        <w:t>Видами конкурентных процедур, которые могут проводиться в отношении непрофильных активов, являются: аукцион, запрос предложений, продажа путем публичного предложения, продажа без объявления цены.</w:t>
      </w:r>
    </w:p>
    <w:p>
      <w:pPr>
        <w:pStyle w:val="Normal"/>
        <w:ind w:firstLine="709"/>
        <w:jc w:val="both"/>
        <w:rPr>
          <w:sz w:val="28"/>
          <w:szCs w:val="28"/>
        </w:rPr>
      </w:pPr>
      <w:r>
        <w:rPr>
          <w:sz w:val="28"/>
          <w:szCs w:val="28"/>
        </w:rPr>
        <w:t>Выбор вида, организация и проведения конкурентных процедур и переход от одной процедуры к другой при продаже непрофильных активов осуществляется в соответствии с внутренним нормативным документом Компании в части, не противоречащей настоящей программе.</w:t>
      </w:r>
    </w:p>
    <w:p>
      <w:pPr>
        <w:pStyle w:val="Normal"/>
        <w:ind w:firstLine="709"/>
        <w:jc w:val="both"/>
        <w:rPr>
          <w:sz w:val="28"/>
          <w:szCs w:val="28"/>
        </w:rPr>
      </w:pPr>
      <w:r>
        <w:rPr>
          <w:sz w:val="28"/>
          <w:szCs w:val="28"/>
        </w:rPr>
        <w:t>Допускается продажа непрофильного актива без проведения конкурентных процедур юридическому лицу, 100 % участия в котором (прямо и косвенно) принадлежит Компании и/или иным компаниям Группы «Интер РАО».</w:t>
      </w:r>
    </w:p>
    <w:p>
      <w:pPr>
        <w:pStyle w:val="Normal"/>
        <w:ind w:firstLine="709"/>
        <w:jc w:val="both"/>
        <w:rPr>
          <w:sz w:val="28"/>
          <w:szCs w:val="28"/>
        </w:rPr>
      </w:pPr>
      <w:r>
        <w:rPr>
          <w:sz w:val="28"/>
          <w:szCs w:val="28"/>
        </w:rPr>
        <w:t>В отдельных исключительных случаях допускается продажа без проведения конкурентных процедур при наличии соответствующего решения совета директоров (наблюдательного совета) Компани (в том числе, путем указания на продажу конкретного непрофильного актива без конкурентных процедур в утвержденном РНА) и надлежащего обоснования.</w:t>
      </w:r>
    </w:p>
    <w:p>
      <w:pPr>
        <w:pStyle w:val="Normal"/>
        <w:ind w:firstLine="709"/>
        <w:jc w:val="both"/>
        <w:rPr>
          <w:sz w:val="28"/>
          <w:szCs w:val="28"/>
        </w:rPr>
      </w:pPr>
      <w:r>
        <w:rPr>
          <w:sz w:val="28"/>
          <w:szCs w:val="28"/>
        </w:rPr>
        <w:t>В случае если непрофильный актив является ограниченным в обороте, его продажа осуществляется с участием ограниченного круга потенциальных покупателей. Выбор ограниченного круга потенциальных покупателей осуществляется с учетом установленных ограничений в соответствии с законодательством.</w:t>
      </w:r>
    </w:p>
    <w:p>
      <w:pPr>
        <w:pStyle w:val="Normal"/>
        <w:ind w:firstLine="709"/>
        <w:jc w:val="both"/>
        <w:rPr>
          <w:sz w:val="28"/>
          <w:szCs w:val="28"/>
        </w:rPr>
      </w:pPr>
      <w:r>
        <w:rPr>
          <w:sz w:val="28"/>
          <w:szCs w:val="28"/>
        </w:rPr>
        <w:t>Если продажа непрофильного актива путем публичного предложения не состоялась и нет оснований для проведения повторной продажи путем публичного предложения, решение о возможности продажи без объявления цены должно быть дополнительно предварительно принято советом директоров (наблюдательным советом) Компании. Совет директоров (наблюдательный совет) Компании при этом вправе установить дополнительные условия продажи, в том числе цену.</w:t>
      </w:r>
    </w:p>
    <w:p>
      <w:pPr>
        <w:pStyle w:val="Normal"/>
        <w:ind w:firstLine="709"/>
        <w:jc w:val="both"/>
        <w:rPr>
          <w:sz w:val="28"/>
          <w:szCs w:val="28"/>
        </w:rPr>
      </w:pPr>
      <w:r>
        <w:rPr>
          <w:sz w:val="28"/>
          <w:szCs w:val="28"/>
        </w:rPr>
        <w:t>Безвозмездная передача (в том числе, дарение) непрофильных активов в собственность Российской Федерации, субъектов Российской Федерации, муниципальных образований может быть осуществлена при наличии письменного согласия соответствующего публично-правового образования и должна быть предварительно одобрена отдельным решением совета директоров (наблюдательного совета) Компании.</w:t>
      </w:r>
    </w:p>
    <w:p>
      <w:pPr>
        <w:pStyle w:val="Normal"/>
        <w:ind w:firstLine="709"/>
        <w:rPr>
          <w:sz w:val="28"/>
          <w:szCs w:val="28"/>
        </w:rPr>
      </w:pPr>
      <w:r>
        <w:rPr>
          <w:sz w:val="28"/>
          <w:szCs w:val="28"/>
        </w:rPr>
      </w:r>
    </w:p>
    <w:p>
      <w:pPr>
        <w:pStyle w:val="Normal"/>
        <w:ind w:firstLine="709"/>
        <w:jc w:val="both"/>
        <w:rPr>
          <w:b/>
          <w:b/>
          <w:sz w:val="28"/>
          <w:szCs w:val="28"/>
        </w:rPr>
      </w:pPr>
      <w:r>
        <w:rPr>
          <w:b/>
          <w:sz w:val="28"/>
          <w:szCs w:val="28"/>
        </w:rPr>
        <w:t>8.</w:t>
        <w:tab/>
        <w:t>Информационное обеспечение реализации непрофильных активов.</w:t>
      </w:r>
    </w:p>
    <w:p>
      <w:pPr>
        <w:pStyle w:val="Normal"/>
        <w:ind w:firstLine="709"/>
        <w:rPr>
          <w:sz w:val="28"/>
          <w:szCs w:val="28"/>
        </w:rPr>
      </w:pPr>
      <w:r>
        <w:rPr>
          <w:sz w:val="28"/>
          <w:szCs w:val="28"/>
        </w:rPr>
      </w:r>
    </w:p>
    <w:p>
      <w:pPr>
        <w:pStyle w:val="Normal"/>
        <w:widowControl w:val="false"/>
        <w:overflowPunct w:val="true"/>
        <w:spacing w:lineRule="auto" w:line="259"/>
        <w:ind w:firstLine="708"/>
        <w:jc w:val="both"/>
        <w:rPr/>
      </w:pPr>
      <w:r>
        <w:rPr>
          <w:sz w:val="28"/>
          <w:szCs w:val="28"/>
        </w:rPr>
        <w:t>Утвержденные советом директоров (наблюдательным советом) Компании Программа и РНА подлежат опубликованию в информационно-телекоммуникационной сети «Интернет» на сайте Компании.</w:t>
      </w:r>
    </w:p>
    <w:p>
      <w:pPr>
        <w:pStyle w:val="Normal"/>
        <w:ind w:firstLine="709"/>
        <w:jc w:val="both"/>
        <w:rPr>
          <w:sz w:val="28"/>
          <w:szCs w:val="28"/>
        </w:rPr>
      </w:pPr>
      <w:r>
        <w:rPr>
          <w:sz w:val="28"/>
          <w:szCs w:val="28"/>
        </w:rPr>
        <w:t>РНА подлежит обязательной публикации на сайте Компании в срок не позднее 3-х рабочих дней с даты утверждения советом директоров (наблюдательным советом) Компании. В случае внесения изменений в РНА документ в новой редакции подлежит публикации на сайте Компании в срок не позднее 3-х рабочих дней с даты утверждения советом директоров (наблюдательным советом) Компании соответствующих изменений.</w:t>
      </w:r>
    </w:p>
    <w:p>
      <w:pPr>
        <w:pStyle w:val="Normal"/>
        <w:ind w:firstLine="709"/>
        <w:jc w:val="both"/>
        <w:rPr>
          <w:sz w:val="28"/>
          <w:szCs w:val="28"/>
        </w:rPr>
      </w:pPr>
      <w:r>
        <w:rPr>
          <w:sz w:val="28"/>
          <w:szCs w:val="28"/>
        </w:rPr>
        <w:t>Мероприятия, направленные на обеспечение свободного доступа лиц, потенциально заинтересованных в приобретении непрофильных активов, осуществляется в соответствии с внутренними нормативными документами Компании.</w:t>
      </w:r>
    </w:p>
    <w:p>
      <w:pPr>
        <w:pStyle w:val="Normal"/>
        <w:ind w:firstLine="709"/>
        <w:jc w:val="both"/>
        <w:rPr>
          <w:sz w:val="28"/>
          <w:szCs w:val="28"/>
        </w:rPr>
      </w:pPr>
      <w:r>
        <w:rPr>
          <w:sz w:val="28"/>
          <w:szCs w:val="28"/>
        </w:rPr>
      </w:r>
    </w:p>
    <w:p>
      <w:pPr>
        <w:pStyle w:val="Normal"/>
        <w:ind w:firstLine="709"/>
        <w:jc w:val="both"/>
        <w:rPr>
          <w:b/>
          <w:b/>
          <w:sz w:val="28"/>
          <w:szCs w:val="28"/>
        </w:rPr>
      </w:pPr>
      <w:r>
        <w:rPr>
          <w:b/>
          <w:sz w:val="28"/>
          <w:szCs w:val="28"/>
        </w:rPr>
        <w:t>9. Подготовка и представление отчетности о ходе исполнения настоящей программы совету директоров (наблюдательному совету) и акционеру</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Менеджмент Компании на ежеквартальной основе должен отчитываться перед советом директоров (наблюдательным советом) Компании об исполнении настоящей программы (Плана мероприятий).</w:t>
      </w:r>
    </w:p>
    <w:p>
      <w:pPr>
        <w:pStyle w:val="Normal"/>
        <w:ind w:firstLine="851"/>
        <w:jc w:val="both"/>
        <w:rPr>
          <w:sz w:val="28"/>
          <w:szCs w:val="28"/>
        </w:rPr>
      </w:pPr>
      <w:r>
        <w:rPr>
          <w:sz w:val="28"/>
          <w:szCs w:val="28"/>
        </w:rPr>
        <w:t>Проект отчета об исполнении Плана мероприятий разрабатывается по рекомендуемой форме согласно приложению № 5 к настоящей программе (далее – Приложение № 5).</w:t>
      </w:r>
    </w:p>
    <w:p>
      <w:pPr>
        <w:pStyle w:val="Normal"/>
        <w:ind w:firstLine="851"/>
        <w:jc w:val="both"/>
        <w:rPr>
          <w:sz w:val="28"/>
          <w:szCs w:val="28"/>
        </w:rPr>
      </w:pPr>
      <w:r>
        <w:rPr>
          <w:sz w:val="28"/>
          <w:szCs w:val="28"/>
        </w:rPr>
        <w:t>Расчет фактически полученного экономического эффекта от реализации непрофильных активов осуществляется с использованием рекомендуемой формы расчета, содержащейся в Приложении № 5.</w:t>
      </w:r>
    </w:p>
    <w:p>
      <w:pPr>
        <w:pStyle w:val="Normal"/>
        <w:ind w:firstLine="709"/>
        <w:jc w:val="both"/>
        <w:rPr>
          <w:sz w:val="28"/>
          <w:szCs w:val="28"/>
        </w:rPr>
      </w:pPr>
      <w:r>
        <w:rPr>
          <w:sz w:val="28"/>
          <w:szCs w:val="28"/>
        </w:rPr>
        <w:t>Менеджмент Компании выносит на рассмотрение советом директоров (наблюдательным советом) Компании вопрос об утверждении отчета об исполнении Плана мероприятий с таким расчетом, чтобы соответствующий вопрос был рассмотрен (принято решение) не позднее 45 (сорока пяти) календарных дней со дня завершения отчетного квартала.</w:t>
      </w:r>
    </w:p>
    <w:p>
      <w:pPr>
        <w:pStyle w:val="Normal"/>
        <w:ind w:firstLine="709"/>
        <w:jc w:val="both"/>
        <w:rPr>
          <w:sz w:val="28"/>
          <w:szCs w:val="28"/>
        </w:rPr>
      </w:pPr>
      <w:r>
        <w:rPr>
          <w:sz w:val="28"/>
          <w:szCs w:val="28"/>
        </w:rPr>
        <w:t>При этом первым отчетным кварталом признается квартал, следующий за кварталом, в котором был утвержден План мероприятий в первый раз на основании настоящей программы.</w:t>
      </w:r>
    </w:p>
    <w:p>
      <w:pPr>
        <w:pStyle w:val="Normal"/>
        <w:ind w:firstLine="709"/>
        <w:jc w:val="both"/>
        <w:rPr>
          <w:sz w:val="28"/>
          <w:szCs w:val="28"/>
        </w:rPr>
      </w:pPr>
      <w:r>
        <w:rPr>
          <w:sz w:val="28"/>
          <w:szCs w:val="28"/>
        </w:rPr>
      </w:r>
    </w:p>
    <w:p>
      <w:pPr>
        <w:pStyle w:val="Normal"/>
        <w:ind w:firstLine="709"/>
        <w:jc w:val="both"/>
        <w:rPr>
          <w:b/>
          <w:b/>
          <w:sz w:val="28"/>
          <w:szCs w:val="28"/>
        </w:rPr>
      </w:pPr>
      <w:r>
        <w:rPr>
          <w:b/>
          <w:sz w:val="28"/>
          <w:szCs w:val="28"/>
        </w:rPr>
        <w:t>10. Ответственность руководителей и сотрудников структурных подразделений.</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t>Порядок и способы премирования/депремирования руководителей и сотрудников структурных подразделений, отвечающих за выполнение работ по выявлению непрофильных активов, реализацию непрофильных активов, представление своевременной, качественной, достоверной и полной информации о реализации непрофильных активов акционеру, органам управления и контроля Компании регулируются в рамках трудовых правоотношений Компании с соответствующими ответственными работниками. Необходимость установления соответствующей регуляции определяется Компанией самостоятельно.</w:t>
      </w:r>
    </w:p>
    <w:p>
      <w:pPr>
        <w:pStyle w:val="Normal"/>
        <w:spacing w:lineRule="auto" w:line="276" w:before="0" w:after="200"/>
        <w:rPr>
          <w:bCs/>
          <w:iCs/>
          <w:sz w:val="20"/>
          <w:szCs w:val="20"/>
        </w:rPr>
      </w:pPr>
      <w:r>
        <w:rPr>
          <w:bCs/>
          <w:iCs/>
          <w:sz w:val="20"/>
          <w:szCs w:val="20"/>
        </w:rPr>
      </w:r>
      <w:r>
        <w:br w:type="page"/>
      </w:r>
    </w:p>
    <w:p>
      <w:pPr>
        <w:pStyle w:val="3"/>
        <w:ind w:left="5954" w:hanging="0"/>
        <w:jc w:val="right"/>
        <w:rPr>
          <w:rFonts w:ascii="Times New Roman" w:hAnsi="Times New Roman" w:cs="Times New Roman"/>
          <w:b w:val="false"/>
          <w:b w:val="false"/>
          <w:color w:val="00000A"/>
          <w:sz w:val="20"/>
          <w:szCs w:val="20"/>
        </w:rPr>
      </w:pPr>
      <w:bookmarkStart w:id="0" w:name="_Toc513130523"/>
      <w:bookmarkEnd w:id="0"/>
      <w:r>
        <w:rPr>
          <w:rFonts w:cs="Times New Roman" w:ascii="Times New Roman" w:hAnsi="Times New Roman"/>
          <w:b w:val="false"/>
          <w:color w:val="00000A"/>
          <w:sz w:val="20"/>
          <w:szCs w:val="20"/>
        </w:rPr>
        <w:t>Приложение № 1 к программе по распоряжению непрофильными активами</w:t>
      </w:r>
    </w:p>
    <w:p>
      <w:pPr>
        <w:pStyle w:val="Normal"/>
        <w:jc w:val="center"/>
        <w:rPr>
          <w:b/>
          <w:b/>
          <w:sz w:val="28"/>
          <w:szCs w:val="28"/>
        </w:rPr>
      </w:pPr>
      <w:r>
        <w:rPr>
          <w:b/>
          <w:sz w:val="28"/>
          <w:szCs w:val="28"/>
        </w:rPr>
      </w:r>
    </w:p>
    <w:p>
      <w:pPr>
        <w:pStyle w:val="Normal"/>
        <w:jc w:val="center"/>
        <w:rPr>
          <w:b/>
          <w:b/>
          <w:sz w:val="28"/>
          <w:szCs w:val="28"/>
        </w:rPr>
      </w:pPr>
      <w:r>
        <w:rPr>
          <w:b/>
          <w:sz w:val="28"/>
          <w:szCs w:val="28"/>
        </w:rPr>
        <w:t>Критерии</w:t>
      </w:r>
    </w:p>
    <w:p>
      <w:pPr>
        <w:pStyle w:val="Normal"/>
        <w:jc w:val="center"/>
        <w:rPr>
          <w:b/>
          <w:b/>
          <w:sz w:val="28"/>
          <w:szCs w:val="28"/>
        </w:rPr>
      </w:pPr>
      <w:r>
        <w:rPr>
          <w:b/>
          <w:sz w:val="28"/>
          <w:szCs w:val="28"/>
        </w:rPr>
        <w:t>определения профильности Е2У</w:t>
      </w:r>
    </w:p>
    <w:p>
      <w:pPr>
        <w:pStyle w:val="Normal"/>
        <w:jc w:val="center"/>
        <w:rPr>
          <w:sz w:val="28"/>
          <w:szCs w:val="28"/>
        </w:rPr>
      </w:pPr>
      <w:r>
        <w:rPr>
          <w:sz w:val="28"/>
          <w:szCs w:val="28"/>
        </w:rPr>
      </w:r>
    </w:p>
    <w:tbl>
      <w:tblPr>
        <w:tblStyle w:val="a8"/>
        <w:tblW w:w="10137" w:type="dxa"/>
        <w:jc w:val="left"/>
        <w:tblInd w:w="0" w:type="dxa"/>
        <w:tblCellMar>
          <w:top w:w="0" w:type="dxa"/>
          <w:left w:w="108" w:type="dxa"/>
          <w:bottom w:w="0" w:type="dxa"/>
          <w:right w:w="108" w:type="dxa"/>
        </w:tblCellMar>
        <w:tblLook w:firstRow="1" w:noVBand="1" w:lastRow="0" w:firstColumn="1" w:lastColumn="0" w:noHBand="0" w:val="04a0"/>
      </w:tblPr>
      <w:tblGrid>
        <w:gridCol w:w="534"/>
        <w:gridCol w:w="4252"/>
        <w:gridCol w:w="1985"/>
        <w:gridCol w:w="3365"/>
      </w:tblGrid>
      <w:tr>
        <w:trPr/>
        <w:tc>
          <w:tcPr>
            <w:tcW w:w="534" w:type="dxa"/>
            <w:tcBorders/>
            <w:shd w:fill="auto" w:val="clear"/>
            <w:tcMar>
              <w:left w:w="108" w:type="dxa"/>
            </w:tcMar>
            <w:vAlign w:val="center"/>
          </w:tcPr>
          <w:p>
            <w:pPr>
              <w:pStyle w:val="Normal"/>
              <w:spacing w:lineRule="auto" w:line="240" w:before="0" w:after="0"/>
              <w:jc w:val="center"/>
              <w:rPr/>
            </w:pPr>
            <w:r>
              <w:rPr/>
              <w:t>№</w:t>
            </w:r>
          </w:p>
        </w:tc>
        <w:tc>
          <w:tcPr>
            <w:tcW w:w="4252" w:type="dxa"/>
            <w:tcBorders/>
            <w:shd w:fill="auto" w:val="clear"/>
            <w:tcMar>
              <w:left w:w="108" w:type="dxa"/>
            </w:tcMar>
            <w:vAlign w:val="center"/>
          </w:tcPr>
          <w:p>
            <w:pPr>
              <w:pStyle w:val="Normal"/>
              <w:spacing w:lineRule="auto" w:line="240" w:before="0" w:after="0"/>
              <w:jc w:val="center"/>
              <w:rPr/>
            </w:pPr>
            <w:r>
              <w:rPr/>
              <w:t>Критерии (факторы)</w:t>
            </w:r>
          </w:p>
        </w:tc>
        <w:tc>
          <w:tcPr>
            <w:tcW w:w="1985" w:type="dxa"/>
            <w:tcBorders/>
            <w:shd w:fill="auto" w:val="clear"/>
            <w:tcMar>
              <w:left w:w="108" w:type="dxa"/>
            </w:tcMar>
            <w:vAlign w:val="center"/>
          </w:tcPr>
          <w:p>
            <w:pPr>
              <w:pStyle w:val="Normal"/>
              <w:spacing w:lineRule="auto" w:line="240" w:before="0" w:after="0"/>
              <w:jc w:val="center"/>
              <w:rPr/>
            </w:pPr>
            <w:r>
              <w:rPr/>
              <w:t>Целевые ответы для определения профильных Е2У</w:t>
            </w:r>
          </w:p>
        </w:tc>
        <w:tc>
          <w:tcPr>
            <w:tcW w:w="3365" w:type="dxa"/>
            <w:tcBorders/>
            <w:shd w:fill="auto" w:val="clear"/>
            <w:tcMar>
              <w:left w:w="108" w:type="dxa"/>
            </w:tcMar>
            <w:vAlign w:val="center"/>
          </w:tcPr>
          <w:p>
            <w:pPr>
              <w:pStyle w:val="Normal"/>
              <w:spacing w:lineRule="auto" w:line="240" w:before="0" w:after="0"/>
              <w:jc w:val="center"/>
              <w:rPr/>
            </w:pPr>
            <w:r>
              <w:rPr/>
              <w:t>Процент, присваиваемый за совпадение с целевым ответом по определению профильных Е2У</w:t>
            </w:r>
          </w:p>
        </w:tc>
      </w:tr>
      <w:tr>
        <w:trPr/>
        <w:tc>
          <w:tcPr>
            <w:tcW w:w="534" w:type="dxa"/>
            <w:tcBorders/>
            <w:shd w:fill="auto" w:val="clear"/>
            <w:tcMar>
              <w:left w:w="108" w:type="dxa"/>
            </w:tcMar>
            <w:vAlign w:val="center"/>
          </w:tcPr>
          <w:p>
            <w:pPr>
              <w:pStyle w:val="Normal"/>
              <w:spacing w:lineRule="auto" w:line="240" w:before="0" w:after="0"/>
              <w:jc w:val="center"/>
              <w:rPr/>
            </w:pPr>
            <w:r>
              <w:rPr/>
              <w:t>1</w:t>
            </w:r>
          </w:p>
        </w:tc>
        <w:tc>
          <w:tcPr>
            <w:tcW w:w="4252" w:type="dxa"/>
            <w:tcBorders/>
            <w:shd w:fill="auto" w:val="clear"/>
            <w:tcMar>
              <w:left w:w="108" w:type="dxa"/>
            </w:tcMar>
            <w:vAlign w:val="center"/>
          </w:tcPr>
          <w:p>
            <w:pPr>
              <w:pStyle w:val="Normal"/>
              <w:spacing w:lineRule="auto" w:line="240" w:before="0" w:after="0"/>
              <w:jc w:val="center"/>
              <w:rPr/>
            </w:pPr>
            <w:r>
              <w:rPr/>
              <w:t>Актив, являющийся недвижимым имуществом, расположен на принадлежащей Компании территории, используемой для осуществления основного вида деятельности либо для единственно возможного проезда (прохода) к</w:t>
              <w:tab/>
              <w:t>территории, используемой Компанией для осуществления основных видов деятельности (да, нет)</w:t>
            </w:r>
          </w:p>
        </w:tc>
        <w:tc>
          <w:tcPr>
            <w:tcW w:w="1985" w:type="dxa"/>
            <w:tcBorders/>
            <w:shd w:fill="auto" w:val="clear"/>
            <w:tcMar>
              <w:left w:w="108" w:type="dxa"/>
            </w:tcMar>
            <w:vAlign w:val="center"/>
          </w:tcPr>
          <w:p>
            <w:pPr>
              <w:pStyle w:val="Normal"/>
              <w:spacing w:lineRule="auto" w:line="240" w:before="0" w:after="0"/>
              <w:jc w:val="center"/>
              <w:rPr/>
            </w:pPr>
            <w:r>
              <w:rPr/>
              <w:t>да</w:t>
            </w:r>
          </w:p>
        </w:tc>
        <w:tc>
          <w:tcPr>
            <w:tcW w:w="3365" w:type="dxa"/>
            <w:tcBorders/>
            <w:shd w:fill="auto" w:val="clear"/>
            <w:tcMar>
              <w:left w:w="108" w:type="dxa"/>
            </w:tcMar>
            <w:vAlign w:val="center"/>
          </w:tcPr>
          <w:p>
            <w:pPr>
              <w:pStyle w:val="Normal"/>
              <w:spacing w:lineRule="auto" w:line="240" w:before="0" w:after="0"/>
              <w:jc w:val="center"/>
              <w:rPr/>
            </w:pPr>
            <w:r>
              <w:rPr/>
              <w:t>20</w:t>
            </w:r>
          </w:p>
        </w:tc>
      </w:tr>
      <w:tr>
        <w:trPr/>
        <w:tc>
          <w:tcPr>
            <w:tcW w:w="534" w:type="dxa"/>
            <w:tcBorders/>
            <w:shd w:fill="auto" w:val="clear"/>
            <w:tcMar>
              <w:left w:w="108" w:type="dxa"/>
            </w:tcMar>
            <w:vAlign w:val="center"/>
          </w:tcPr>
          <w:p>
            <w:pPr>
              <w:pStyle w:val="Normal"/>
              <w:spacing w:lineRule="auto" w:line="240" w:before="0" w:after="0"/>
              <w:jc w:val="center"/>
              <w:rPr/>
            </w:pPr>
            <w:r>
              <w:rPr/>
              <w:t>2</w:t>
            </w:r>
          </w:p>
        </w:tc>
        <w:tc>
          <w:tcPr>
            <w:tcW w:w="4252" w:type="dxa"/>
            <w:tcBorders/>
            <w:shd w:fill="auto" w:val="clear"/>
            <w:tcMar>
              <w:left w:w="108" w:type="dxa"/>
            </w:tcMar>
            <w:vAlign w:val="center"/>
          </w:tcPr>
          <w:p>
            <w:pPr>
              <w:pStyle w:val="Normal"/>
              <w:spacing w:lineRule="auto" w:line="240" w:before="0" w:after="0"/>
              <w:jc w:val="center"/>
              <w:rPr/>
            </w:pPr>
            <w:r>
              <w:rPr/>
              <w:t>Е2У генерирует более 5 процентов выручки по итогам предыдущего года (да, нет)</w:t>
            </w:r>
          </w:p>
        </w:tc>
        <w:tc>
          <w:tcPr>
            <w:tcW w:w="1985" w:type="dxa"/>
            <w:tcBorders/>
            <w:shd w:fill="auto" w:val="clear"/>
            <w:tcMar>
              <w:left w:w="108" w:type="dxa"/>
            </w:tcMar>
            <w:vAlign w:val="center"/>
          </w:tcPr>
          <w:p>
            <w:pPr>
              <w:pStyle w:val="Normal"/>
              <w:spacing w:lineRule="auto" w:line="240" w:before="0" w:after="0"/>
              <w:jc w:val="center"/>
              <w:rPr/>
            </w:pPr>
            <w:r>
              <w:rPr/>
              <w:t>да</w:t>
            </w:r>
          </w:p>
        </w:tc>
        <w:tc>
          <w:tcPr>
            <w:tcW w:w="3365" w:type="dxa"/>
            <w:tcBorders/>
            <w:shd w:fill="auto" w:val="clear"/>
            <w:tcMar>
              <w:left w:w="108" w:type="dxa"/>
            </w:tcMar>
            <w:vAlign w:val="center"/>
          </w:tcPr>
          <w:p>
            <w:pPr>
              <w:pStyle w:val="Normal"/>
              <w:spacing w:lineRule="auto" w:line="240" w:before="0" w:after="0"/>
              <w:jc w:val="center"/>
              <w:rPr/>
            </w:pPr>
            <w:r>
              <w:rPr/>
              <w:t>15</w:t>
            </w:r>
          </w:p>
        </w:tc>
      </w:tr>
      <w:tr>
        <w:trPr/>
        <w:tc>
          <w:tcPr>
            <w:tcW w:w="534" w:type="dxa"/>
            <w:tcBorders/>
            <w:shd w:fill="auto" w:val="clear"/>
            <w:tcMar>
              <w:left w:w="108" w:type="dxa"/>
            </w:tcMar>
            <w:vAlign w:val="center"/>
          </w:tcPr>
          <w:p>
            <w:pPr>
              <w:pStyle w:val="Normal"/>
              <w:spacing w:lineRule="auto" w:line="240" w:before="0" w:after="0"/>
              <w:jc w:val="center"/>
              <w:rPr/>
            </w:pPr>
            <w:r>
              <w:rPr/>
              <w:t>3</w:t>
            </w:r>
          </w:p>
        </w:tc>
        <w:tc>
          <w:tcPr>
            <w:tcW w:w="4252" w:type="dxa"/>
            <w:tcBorders/>
            <w:shd w:fill="auto" w:val="clear"/>
            <w:tcMar>
              <w:left w:w="108" w:type="dxa"/>
            </w:tcMar>
            <w:vAlign w:val="center"/>
          </w:tcPr>
          <w:p>
            <w:pPr>
              <w:pStyle w:val="Normal"/>
              <w:spacing w:lineRule="auto" w:line="240" w:before="0" w:after="0"/>
              <w:jc w:val="center"/>
              <w:rPr/>
            </w:pPr>
            <w:r>
              <w:rPr/>
              <w:t>Относится к социально значимым объектам (поликлиника, аэропорт, санаторий, спортивный комплекс, общежитие, столовая), выручка которых формируется более чем на 50 процентов за счет предоставления услуг работникам Компании (да, нет)</w:t>
            </w:r>
          </w:p>
        </w:tc>
        <w:tc>
          <w:tcPr>
            <w:tcW w:w="1985" w:type="dxa"/>
            <w:tcBorders/>
            <w:shd w:fill="auto" w:val="clear"/>
            <w:tcMar>
              <w:left w:w="108" w:type="dxa"/>
            </w:tcMar>
            <w:vAlign w:val="center"/>
          </w:tcPr>
          <w:p>
            <w:pPr>
              <w:pStyle w:val="Normal"/>
              <w:spacing w:lineRule="auto" w:line="240" w:before="0" w:after="0"/>
              <w:jc w:val="center"/>
              <w:rPr/>
            </w:pPr>
            <w:r>
              <w:rPr/>
              <w:t>да</w:t>
            </w:r>
          </w:p>
        </w:tc>
        <w:tc>
          <w:tcPr>
            <w:tcW w:w="3365" w:type="dxa"/>
            <w:tcBorders/>
            <w:shd w:fill="auto" w:val="clear"/>
            <w:tcMar>
              <w:left w:w="108" w:type="dxa"/>
            </w:tcMar>
            <w:vAlign w:val="center"/>
          </w:tcPr>
          <w:p>
            <w:pPr>
              <w:pStyle w:val="Normal"/>
              <w:spacing w:lineRule="auto" w:line="240" w:before="0" w:after="0"/>
              <w:jc w:val="center"/>
              <w:rPr/>
            </w:pPr>
            <w:r>
              <w:rPr/>
              <w:t>15</w:t>
            </w:r>
          </w:p>
        </w:tc>
      </w:tr>
      <w:tr>
        <w:trPr/>
        <w:tc>
          <w:tcPr>
            <w:tcW w:w="534" w:type="dxa"/>
            <w:tcBorders/>
            <w:shd w:fill="auto" w:val="clear"/>
            <w:tcMar>
              <w:left w:w="108" w:type="dxa"/>
            </w:tcMar>
            <w:vAlign w:val="center"/>
          </w:tcPr>
          <w:p>
            <w:pPr>
              <w:pStyle w:val="Normal"/>
              <w:spacing w:lineRule="auto" w:line="240" w:before="0" w:after="0"/>
              <w:jc w:val="center"/>
              <w:rPr/>
            </w:pPr>
            <w:r>
              <w:rPr/>
              <w:t>4</w:t>
            </w:r>
          </w:p>
        </w:tc>
        <w:tc>
          <w:tcPr>
            <w:tcW w:w="4252" w:type="dxa"/>
            <w:tcBorders/>
            <w:shd w:fill="auto" w:val="clear"/>
            <w:tcMar>
              <w:left w:w="108" w:type="dxa"/>
            </w:tcMar>
            <w:vAlign w:val="center"/>
          </w:tcPr>
          <w:p>
            <w:pPr>
              <w:pStyle w:val="Normal"/>
              <w:spacing w:lineRule="auto" w:line="240" w:before="0" w:after="0"/>
              <w:jc w:val="center"/>
              <w:rPr/>
            </w:pPr>
            <w:r>
              <w:rPr/>
              <w:t>Наличие заключенных контрактов или иных обязательств, связанных с использованием Е2У общей стоимостью более 1 процента выручки  Компании или более1 млрд. рублей (да, нет)</w:t>
            </w:r>
          </w:p>
        </w:tc>
        <w:tc>
          <w:tcPr>
            <w:tcW w:w="1985" w:type="dxa"/>
            <w:tcBorders/>
            <w:shd w:fill="auto" w:val="clear"/>
            <w:tcMar>
              <w:left w:w="108" w:type="dxa"/>
            </w:tcMar>
            <w:vAlign w:val="center"/>
          </w:tcPr>
          <w:p>
            <w:pPr>
              <w:pStyle w:val="Normal"/>
              <w:spacing w:lineRule="auto" w:line="240" w:before="0" w:after="0"/>
              <w:jc w:val="center"/>
              <w:rPr/>
            </w:pPr>
            <w:r>
              <w:rPr/>
              <w:t>да</w:t>
            </w:r>
          </w:p>
        </w:tc>
        <w:tc>
          <w:tcPr>
            <w:tcW w:w="3365" w:type="dxa"/>
            <w:tcBorders/>
            <w:shd w:fill="auto" w:val="clear"/>
            <w:tcMar>
              <w:left w:w="108" w:type="dxa"/>
            </w:tcMar>
            <w:vAlign w:val="center"/>
          </w:tcPr>
          <w:p>
            <w:pPr>
              <w:pStyle w:val="Normal"/>
              <w:spacing w:lineRule="auto" w:line="240" w:before="0" w:after="0"/>
              <w:jc w:val="center"/>
              <w:rPr/>
            </w:pPr>
            <w:r>
              <w:rPr/>
              <w:t>20</w:t>
            </w:r>
          </w:p>
        </w:tc>
      </w:tr>
      <w:tr>
        <w:trPr/>
        <w:tc>
          <w:tcPr>
            <w:tcW w:w="534" w:type="dxa"/>
            <w:tcBorders/>
            <w:shd w:fill="auto" w:val="clear"/>
            <w:tcMar>
              <w:left w:w="108" w:type="dxa"/>
            </w:tcMar>
            <w:vAlign w:val="center"/>
          </w:tcPr>
          <w:p>
            <w:pPr>
              <w:pStyle w:val="Normal"/>
              <w:spacing w:lineRule="auto" w:line="240" w:before="0" w:after="0"/>
              <w:jc w:val="center"/>
              <w:rPr/>
            </w:pPr>
            <w:r>
              <w:rPr/>
              <w:t>5</w:t>
            </w:r>
          </w:p>
        </w:tc>
        <w:tc>
          <w:tcPr>
            <w:tcW w:w="4252" w:type="dxa"/>
            <w:tcBorders/>
            <w:shd w:fill="auto" w:val="clear"/>
            <w:tcMar>
              <w:left w:w="108" w:type="dxa"/>
            </w:tcMar>
            <w:vAlign w:val="center"/>
          </w:tcPr>
          <w:p>
            <w:pPr>
              <w:pStyle w:val="Normal"/>
              <w:spacing w:lineRule="auto" w:line="240" w:before="0" w:after="0"/>
              <w:jc w:val="center"/>
              <w:rPr/>
            </w:pPr>
            <w:r>
              <w:rPr/>
              <w:t>Е2Усодержит активы, результаты деятельности которых составляют государственную либо коммерческую тайну, раскрытие которой для Компании повлечет убытки (да, нет)</w:t>
            </w:r>
          </w:p>
        </w:tc>
        <w:tc>
          <w:tcPr>
            <w:tcW w:w="1985" w:type="dxa"/>
            <w:tcBorders/>
            <w:shd w:fill="auto" w:val="clear"/>
            <w:tcMar>
              <w:left w:w="108" w:type="dxa"/>
            </w:tcMar>
            <w:vAlign w:val="center"/>
          </w:tcPr>
          <w:p>
            <w:pPr>
              <w:pStyle w:val="Normal"/>
              <w:spacing w:lineRule="auto" w:line="240" w:before="0" w:after="0"/>
              <w:jc w:val="center"/>
              <w:rPr/>
            </w:pPr>
            <w:r>
              <w:rPr/>
              <w:t>да</w:t>
            </w:r>
          </w:p>
        </w:tc>
        <w:tc>
          <w:tcPr>
            <w:tcW w:w="3365" w:type="dxa"/>
            <w:tcBorders/>
            <w:shd w:fill="auto" w:val="clear"/>
            <w:tcMar>
              <w:left w:w="108" w:type="dxa"/>
            </w:tcMar>
            <w:vAlign w:val="center"/>
          </w:tcPr>
          <w:p>
            <w:pPr>
              <w:pStyle w:val="Normal"/>
              <w:spacing w:lineRule="auto" w:line="240" w:before="0" w:after="0"/>
              <w:jc w:val="center"/>
              <w:rPr/>
            </w:pPr>
            <w:r>
              <w:rPr/>
              <w:t>15</w:t>
            </w:r>
          </w:p>
        </w:tc>
      </w:tr>
      <w:tr>
        <w:trPr/>
        <w:tc>
          <w:tcPr>
            <w:tcW w:w="534" w:type="dxa"/>
            <w:tcBorders/>
            <w:shd w:fill="auto" w:val="clear"/>
            <w:tcMar>
              <w:left w:w="108" w:type="dxa"/>
            </w:tcMar>
            <w:vAlign w:val="center"/>
          </w:tcPr>
          <w:p>
            <w:pPr>
              <w:pStyle w:val="Normal"/>
              <w:spacing w:lineRule="auto" w:line="240" w:before="0" w:after="0"/>
              <w:jc w:val="center"/>
              <w:rPr/>
            </w:pPr>
            <w:r>
              <w:rPr/>
              <w:t>6</w:t>
            </w:r>
          </w:p>
        </w:tc>
        <w:tc>
          <w:tcPr>
            <w:tcW w:w="4252" w:type="dxa"/>
            <w:tcBorders/>
            <w:shd w:fill="auto" w:val="clear"/>
            <w:tcMar>
              <w:left w:w="108" w:type="dxa"/>
            </w:tcMar>
            <w:vAlign w:val="center"/>
          </w:tcPr>
          <w:p>
            <w:pPr>
              <w:pStyle w:val="Normal"/>
              <w:spacing w:lineRule="auto" w:line="240" w:before="0" w:after="0"/>
              <w:jc w:val="center"/>
              <w:rPr/>
            </w:pPr>
            <w:r>
              <w:rPr/>
              <w:t>Е2У обеспечивает предотвращение чрезвычайных ситуаций, информационную, экономическую и финансовую безопасность Компании и их подконтрольных юридических лиц (да, нет)</w:t>
            </w:r>
          </w:p>
        </w:tc>
        <w:tc>
          <w:tcPr>
            <w:tcW w:w="1985" w:type="dxa"/>
            <w:tcBorders/>
            <w:shd w:fill="auto" w:val="clear"/>
            <w:tcMar>
              <w:left w:w="108" w:type="dxa"/>
            </w:tcMar>
            <w:vAlign w:val="center"/>
          </w:tcPr>
          <w:p>
            <w:pPr>
              <w:pStyle w:val="Normal"/>
              <w:spacing w:lineRule="auto" w:line="240" w:before="0" w:after="0"/>
              <w:jc w:val="center"/>
              <w:rPr/>
            </w:pPr>
            <w:r>
              <w:rPr/>
              <w:t>да</w:t>
            </w:r>
          </w:p>
        </w:tc>
        <w:tc>
          <w:tcPr>
            <w:tcW w:w="3365" w:type="dxa"/>
            <w:tcBorders/>
            <w:shd w:fill="auto" w:val="clear"/>
            <w:tcMar>
              <w:left w:w="108" w:type="dxa"/>
            </w:tcMar>
            <w:vAlign w:val="center"/>
          </w:tcPr>
          <w:p>
            <w:pPr>
              <w:pStyle w:val="Normal"/>
              <w:spacing w:lineRule="auto" w:line="240" w:before="0" w:after="0"/>
              <w:jc w:val="center"/>
              <w:rPr/>
            </w:pPr>
            <w:r>
              <w:rPr/>
              <w:t>15</w:t>
            </w:r>
          </w:p>
        </w:tc>
      </w:tr>
    </w:tbl>
    <w:p>
      <w:pPr>
        <w:pStyle w:val="3"/>
        <w:ind w:left="6237" w:hanging="0"/>
        <w:jc w:val="right"/>
        <w:rPr>
          <w:rFonts w:ascii="Times New Roman" w:hAnsi="Times New Roman" w:cs="Times New Roman"/>
          <w:b w:val="false"/>
          <w:b w:val="false"/>
          <w:color w:val="00000A"/>
          <w:sz w:val="20"/>
          <w:szCs w:val="20"/>
        </w:rPr>
      </w:pPr>
      <w:r>
        <w:rPr>
          <w:rFonts w:cs="Times New Roman" w:ascii="Times New Roman" w:hAnsi="Times New Roman"/>
          <w:b w:val="false"/>
          <w:color w:val="00000A"/>
          <w:sz w:val="20"/>
          <w:szCs w:val="20"/>
        </w:rPr>
      </w:r>
    </w:p>
    <w:p>
      <w:pPr>
        <w:pStyle w:val="Normal"/>
        <w:rPr/>
      </w:pPr>
      <w:r>
        <w:rPr/>
      </w:r>
    </w:p>
    <w:p>
      <w:pPr>
        <w:pStyle w:val="3"/>
        <w:ind w:left="6237" w:hanging="0"/>
        <w:jc w:val="right"/>
        <w:rPr>
          <w:rFonts w:ascii="Times New Roman" w:hAnsi="Times New Roman" w:cs="Times New Roman"/>
          <w:b w:val="false"/>
          <w:b w:val="false"/>
          <w:color w:val="00000A"/>
          <w:sz w:val="20"/>
          <w:szCs w:val="20"/>
        </w:rPr>
      </w:pPr>
      <w:r>
        <w:rPr>
          <w:rFonts w:cs="Times New Roman" w:ascii="Times New Roman" w:hAnsi="Times New Roman"/>
          <w:b w:val="false"/>
          <w:color w:val="00000A"/>
          <w:sz w:val="20"/>
          <w:szCs w:val="20"/>
        </w:rPr>
        <w:t>Приложение № 2 к программе по распоряжению непрофильными активами</w:t>
      </w:r>
    </w:p>
    <w:p>
      <w:pPr>
        <w:pStyle w:val="Normal"/>
        <w:jc w:val="center"/>
        <w:rPr>
          <w:b/>
          <w:b/>
        </w:rPr>
      </w:pPr>
      <w:r>
        <w:rPr>
          <w:b/>
        </w:rPr>
      </w:r>
    </w:p>
    <w:p>
      <w:pPr>
        <w:pStyle w:val="Normal"/>
        <w:jc w:val="center"/>
        <w:rPr>
          <w:b/>
          <w:b/>
          <w:sz w:val="28"/>
          <w:szCs w:val="28"/>
        </w:rPr>
      </w:pPr>
      <w:r>
        <w:rPr>
          <w:b/>
          <w:sz w:val="28"/>
          <w:szCs w:val="28"/>
        </w:rPr>
        <w:t>Критерии</w:t>
      </w:r>
    </w:p>
    <w:p>
      <w:pPr>
        <w:pStyle w:val="Normal"/>
        <w:jc w:val="center"/>
        <w:rPr>
          <w:b/>
          <w:b/>
          <w:sz w:val="28"/>
          <w:szCs w:val="28"/>
        </w:rPr>
      </w:pPr>
      <w:r>
        <w:rPr>
          <w:b/>
          <w:sz w:val="28"/>
          <w:szCs w:val="28"/>
        </w:rPr>
        <w:t>определения профильности активов, включенных в состав Е2У</w:t>
      </w:r>
    </w:p>
    <w:p>
      <w:pPr>
        <w:pStyle w:val="Normal"/>
        <w:jc w:val="center"/>
        <w:rPr>
          <w:b/>
          <w:b/>
        </w:rPr>
      </w:pPr>
      <w:r>
        <w:rPr>
          <w:b/>
        </w:rPr>
      </w:r>
    </w:p>
    <w:tbl>
      <w:tblPr>
        <w:tblStyle w:val="a8"/>
        <w:tblW w:w="10137" w:type="dxa"/>
        <w:jc w:val="left"/>
        <w:tblInd w:w="0" w:type="dxa"/>
        <w:tblCellMar>
          <w:top w:w="0" w:type="dxa"/>
          <w:left w:w="108" w:type="dxa"/>
          <w:bottom w:w="0" w:type="dxa"/>
          <w:right w:w="108" w:type="dxa"/>
        </w:tblCellMar>
        <w:tblLook w:firstRow="1" w:noVBand="1" w:lastRow="0" w:firstColumn="1" w:lastColumn="0" w:noHBand="0" w:val="04a0"/>
      </w:tblPr>
      <w:tblGrid>
        <w:gridCol w:w="534"/>
        <w:gridCol w:w="3826"/>
        <w:gridCol w:w="2411"/>
        <w:gridCol w:w="3365"/>
      </w:tblGrid>
      <w:tr>
        <w:trPr/>
        <w:tc>
          <w:tcPr>
            <w:tcW w:w="534" w:type="dxa"/>
            <w:tcBorders/>
            <w:shd w:fill="auto" w:val="clear"/>
            <w:tcMar>
              <w:left w:w="108" w:type="dxa"/>
            </w:tcMar>
            <w:vAlign w:val="center"/>
          </w:tcPr>
          <w:p>
            <w:pPr>
              <w:pStyle w:val="Normal"/>
              <w:spacing w:lineRule="auto" w:line="240" w:before="0" w:after="0"/>
              <w:jc w:val="center"/>
              <w:rPr/>
            </w:pPr>
            <w:r>
              <w:rPr/>
              <w:t>№</w:t>
            </w:r>
          </w:p>
        </w:tc>
        <w:tc>
          <w:tcPr>
            <w:tcW w:w="3826" w:type="dxa"/>
            <w:tcBorders/>
            <w:shd w:fill="auto" w:val="clear"/>
            <w:tcMar>
              <w:left w:w="108" w:type="dxa"/>
            </w:tcMar>
            <w:vAlign w:val="center"/>
          </w:tcPr>
          <w:p>
            <w:pPr>
              <w:pStyle w:val="Normal"/>
              <w:spacing w:lineRule="auto" w:line="240" w:before="0" w:after="0"/>
              <w:jc w:val="center"/>
              <w:rPr/>
            </w:pPr>
            <w:r>
              <w:rPr/>
              <w:t>Критерии (факторы)</w:t>
            </w:r>
          </w:p>
        </w:tc>
        <w:tc>
          <w:tcPr>
            <w:tcW w:w="2411" w:type="dxa"/>
            <w:tcBorders/>
            <w:shd w:fill="auto" w:val="clear"/>
            <w:tcMar>
              <w:left w:w="108" w:type="dxa"/>
            </w:tcMar>
            <w:vAlign w:val="center"/>
          </w:tcPr>
          <w:p>
            <w:pPr>
              <w:pStyle w:val="Normal"/>
              <w:spacing w:lineRule="auto" w:line="240" w:before="0" w:after="0"/>
              <w:jc w:val="center"/>
              <w:rPr/>
            </w:pPr>
            <w:r>
              <w:rPr/>
              <w:t>Целевые ответы для определения необходимости сохранения актива, входящего в состав профильной Е2У</w:t>
            </w:r>
          </w:p>
        </w:tc>
        <w:tc>
          <w:tcPr>
            <w:tcW w:w="3365" w:type="dxa"/>
            <w:tcBorders/>
            <w:shd w:fill="auto" w:val="clear"/>
            <w:tcMar>
              <w:left w:w="108" w:type="dxa"/>
            </w:tcMar>
            <w:vAlign w:val="center"/>
          </w:tcPr>
          <w:p>
            <w:pPr>
              <w:pStyle w:val="Normal"/>
              <w:spacing w:lineRule="auto" w:line="240" w:before="0" w:after="0"/>
              <w:jc w:val="center"/>
              <w:rPr/>
            </w:pPr>
            <w:r>
              <w:rPr/>
              <w:t>Процент, присваиваемый за совпадение с целевым ответом по определению профильных Е2У</w:t>
            </w:r>
          </w:p>
        </w:tc>
      </w:tr>
      <w:tr>
        <w:trPr/>
        <w:tc>
          <w:tcPr>
            <w:tcW w:w="534" w:type="dxa"/>
            <w:tcBorders/>
            <w:shd w:fill="auto" w:val="clear"/>
            <w:tcMar>
              <w:left w:w="108" w:type="dxa"/>
            </w:tcMar>
            <w:vAlign w:val="center"/>
          </w:tcPr>
          <w:p>
            <w:pPr>
              <w:pStyle w:val="Normal"/>
              <w:spacing w:lineRule="auto" w:line="240" w:before="0" w:after="0"/>
              <w:jc w:val="center"/>
              <w:rPr/>
            </w:pPr>
            <w:r>
              <w:rPr/>
              <w:t>1</w:t>
            </w:r>
          </w:p>
        </w:tc>
        <w:tc>
          <w:tcPr>
            <w:tcW w:w="3826" w:type="dxa"/>
            <w:tcBorders/>
            <w:shd w:fill="auto" w:val="clear"/>
            <w:tcMar>
              <w:left w:w="108" w:type="dxa"/>
            </w:tcMar>
            <w:vAlign w:val="center"/>
          </w:tcPr>
          <w:p>
            <w:pPr>
              <w:pStyle w:val="Normal"/>
              <w:spacing w:lineRule="auto" w:line="240" w:before="0" w:after="0"/>
              <w:jc w:val="center"/>
              <w:rPr/>
            </w:pPr>
            <w:r>
              <w:rPr/>
              <w:t>Актив Компании является необходимым для обеспечения успешной работы Е2У (да/нет)</w:t>
            </w:r>
          </w:p>
        </w:tc>
        <w:tc>
          <w:tcPr>
            <w:tcW w:w="2411" w:type="dxa"/>
            <w:tcBorders/>
            <w:shd w:fill="auto" w:val="clear"/>
            <w:tcMar>
              <w:left w:w="108" w:type="dxa"/>
            </w:tcMar>
            <w:vAlign w:val="center"/>
          </w:tcPr>
          <w:p>
            <w:pPr>
              <w:pStyle w:val="Normal"/>
              <w:spacing w:lineRule="auto" w:line="240" w:before="0" w:after="0"/>
              <w:jc w:val="center"/>
              <w:rPr/>
            </w:pPr>
            <w:r>
              <w:rPr/>
              <w:t>да</w:t>
            </w:r>
          </w:p>
        </w:tc>
        <w:tc>
          <w:tcPr>
            <w:tcW w:w="3365" w:type="dxa"/>
            <w:tcBorders/>
            <w:shd w:fill="auto" w:val="clear"/>
            <w:tcMar>
              <w:left w:w="108" w:type="dxa"/>
            </w:tcMar>
            <w:vAlign w:val="center"/>
          </w:tcPr>
          <w:p>
            <w:pPr>
              <w:pStyle w:val="Normal"/>
              <w:spacing w:lineRule="auto" w:line="240" w:before="0" w:after="0"/>
              <w:jc w:val="center"/>
              <w:rPr/>
            </w:pPr>
            <w:r>
              <w:rPr/>
              <w:t>100</w:t>
            </w:r>
          </w:p>
        </w:tc>
      </w:tr>
      <w:tr>
        <w:trPr/>
        <w:tc>
          <w:tcPr>
            <w:tcW w:w="534" w:type="dxa"/>
            <w:tcBorders/>
            <w:shd w:fill="auto" w:val="clear"/>
            <w:tcMar>
              <w:left w:w="108" w:type="dxa"/>
            </w:tcMar>
            <w:vAlign w:val="center"/>
          </w:tcPr>
          <w:p>
            <w:pPr>
              <w:pStyle w:val="Normal"/>
              <w:spacing w:lineRule="auto" w:line="240" w:before="0" w:after="0"/>
              <w:jc w:val="center"/>
              <w:rPr/>
            </w:pPr>
            <w:r>
              <w:rPr/>
              <w:t>2</w:t>
            </w:r>
          </w:p>
        </w:tc>
        <w:tc>
          <w:tcPr>
            <w:tcW w:w="3826" w:type="dxa"/>
            <w:tcBorders/>
            <w:shd w:fill="auto" w:val="clear"/>
            <w:tcMar>
              <w:left w:w="108" w:type="dxa"/>
            </w:tcMar>
            <w:vAlign w:val="center"/>
          </w:tcPr>
          <w:p>
            <w:pPr>
              <w:pStyle w:val="Normal"/>
              <w:spacing w:lineRule="auto" w:line="240" w:before="0" w:after="0"/>
              <w:jc w:val="center"/>
              <w:rPr/>
            </w:pPr>
            <w:r>
              <w:rPr/>
              <w:t>Актив Компании является неотчуждаемым (сервитут, объект необходим для выполнения государственных задач, мобилизационной подготовки, обороны, безопасности) (да/нет)</w:t>
            </w:r>
          </w:p>
        </w:tc>
        <w:tc>
          <w:tcPr>
            <w:tcW w:w="2411" w:type="dxa"/>
            <w:tcBorders/>
            <w:shd w:fill="auto" w:val="clear"/>
            <w:tcMar>
              <w:left w:w="108" w:type="dxa"/>
            </w:tcMar>
            <w:vAlign w:val="center"/>
          </w:tcPr>
          <w:p>
            <w:pPr>
              <w:pStyle w:val="Normal"/>
              <w:spacing w:lineRule="auto" w:line="240" w:before="0" w:after="0"/>
              <w:jc w:val="center"/>
              <w:rPr/>
            </w:pPr>
            <w:r>
              <w:rPr/>
              <w:t>да</w:t>
            </w:r>
          </w:p>
        </w:tc>
        <w:tc>
          <w:tcPr>
            <w:tcW w:w="3365" w:type="dxa"/>
            <w:tcBorders/>
            <w:shd w:fill="auto" w:val="clear"/>
            <w:tcMar>
              <w:left w:w="108" w:type="dxa"/>
            </w:tcMar>
            <w:vAlign w:val="center"/>
          </w:tcPr>
          <w:p>
            <w:pPr>
              <w:pStyle w:val="Normal"/>
              <w:spacing w:lineRule="auto" w:line="240" w:before="0" w:after="0"/>
              <w:jc w:val="center"/>
              <w:rPr/>
            </w:pPr>
            <w:r>
              <w:rPr/>
              <w:t>100</w:t>
            </w:r>
          </w:p>
        </w:tc>
      </w:tr>
    </w:tbl>
    <w:p>
      <w:pPr>
        <w:pStyle w:val="Normal"/>
        <w:rPr/>
      </w:pPr>
      <w:r>
        <w:rPr/>
      </w:r>
    </w:p>
    <w:sectPr>
      <w:footnotePr>
        <w:numFmt w:val="decimal"/>
      </w:footnotePr>
      <w:type w:val="nextPage"/>
      <w:pgSz w:w="11906" w:h="16838"/>
      <w:pgMar w:left="1134" w:right="850" w:header="0" w:top="1134" w:footer="0" w:bottom="113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Liberation Sans">
    <w:altName w:val="Arial"/>
    <w:charset w:val="cc"/>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jc w:val="both"/>
        <w:rPr/>
      </w:pPr>
      <w:r>
        <w:rPr>
          <w:rStyle w:val="Footnotereference"/>
        </w:rPr>
        <w:footnoteRef/>
        <w:tab/>
      </w:r>
      <w:r>
        <w:rPr/>
        <w:t xml:space="preserve"> </w:t>
      </w:r>
      <w:r>
        <w:rPr/>
        <w:t xml:space="preserve">Термин и соответствующее ему определение приводятся при наличии у </w:t>
      </w:r>
      <w:r>
        <w:rPr>
          <w:bCs/>
        </w:rPr>
        <w:t>Компании</w:t>
      </w:r>
      <w:r>
        <w:rPr/>
        <w:t xml:space="preserve"> указанного в определении документа </w:t>
      </w:r>
    </w:p>
  </w:footnote>
  <w:footnote w:id="3">
    <w:p>
      <w:pPr>
        <w:pStyle w:val="Footnotetext"/>
        <w:jc w:val="both"/>
        <w:rPr/>
      </w:pPr>
      <w:r>
        <w:rPr>
          <w:rStyle w:val="Footnotereference"/>
        </w:rPr>
        <w:footnoteRef/>
        <w:tab/>
      </w:r>
      <w:r>
        <w:rPr/>
        <w:t xml:space="preserve"> </w:t>
      </w:r>
      <w:r>
        <w:rPr/>
        <w:t xml:space="preserve">Термин и соответствующее ему определение приводятся при наличии у </w:t>
      </w:r>
      <w:r>
        <w:rPr>
          <w:bCs/>
        </w:rPr>
        <w:t>Компании</w:t>
      </w:r>
      <w:r>
        <w:rPr/>
        <w:t xml:space="preserve"> указанного в определении документа</w:t>
      </w:r>
    </w:p>
  </w:footnote>
  <w:footnote w:id="4">
    <w:p>
      <w:pPr>
        <w:pStyle w:val="Footnotetext"/>
        <w:jc w:val="both"/>
        <w:rPr/>
      </w:pPr>
      <w:r>
        <w:rPr>
          <w:rStyle w:val="Footnotereference"/>
        </w:rPr>
        <w:footnoteRef/>
        <w:tab/>
      </w:r>
      <w:r>
        <w:rPr/>
        <w:t xml:space="preserve"> </w:t>
      </w:r>
      <w:r>
        <w:rPr/>
        <w:t>В область анализа попадают активы, указанные в разделе I «Внеоборотные активы» Плана счетов бухгалтерского учета финансово-хозяйственной деятельности организаций, за исключением кредитных, утвержденного приказом Минфина России от 31.10.2000 № 94н, а также акции (доли участия) в хозяйственных обществах.</w:t>
      </w:r>
    </w:p>
  </w:footnote>
  <w:footnote w:id="5">
    <w:p>
      <w:pPr>
        <w:pStyle w:val="Footnotetext"/>
        <w:rPr/>
      </w:pPr>
      <w:r>
        <w:rPr>
          <w:rStyle w:val="Footnotereference"/>
        </w:rPr>
        <w:footnoteRef/>
        <w:tab/>
      </w:r>
      <w:r>
        <w:rPr/>
        <w:t xml:space="preserve"> </w:t>
      </w:r>
      <w:r>
        <w:rPr/>
        <w:t xml:space="preserve">Для целей настоящего документа ликвидация и отказ от права не являются отчуждением.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lvl w:ilvl="0">
      <w:start w:val="9"/>
      <w:numFmt w:val="upperLetter"/>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
    <w:lvl w:ilvl="0">
      <w:start w:val="2"/>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lvl w:ilvl="0">
      <w:start w:val="35"/>
      <w:numFmt w:val="upperLetter"/>
      <w:lvlText w:val="%1."/>
      <w:lvlJc w:val="left"/>
      <w:pPr>
        <w:ind w:left="720" w:hanging="360"/>
      </w:pPr>
      <w:rPr>
        <w:sz w:val="20"/>
        <w:szCs w:val="28"/>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5">
    <w:lvl w:ilvl="0">
      <w:start w:val="1"/>
      <w:numFmt w:val="decimal"/>
      <w:lvlText w:val="%1)"/>
      <w:lvlJc w:val="left"/>
      <w:pPr>
        <w:ind w:left="1060" w:hanging="360"/>
      </w:p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6">
    <w:lvl w:ilvl="0">
      <w:start w:val="61"/>
      <w:numFmt w:val="upperLetter"/>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0e6bff"/>
    <w:pPr>
      <w:widowControl/>
      <w:bidi w:val="0"/>
      <w:spacing w:lineRule="auto" w:line="240" w:before="0" w:after="0"/>
      <w:jc w:val="left"/>
    </w:pPr>
    <w:rPr>
      <w:rFonts w:ascii="Times New Roman" w:hAnsi="Times New Roman" w:eastAsia="Times New Roman" w:cs="Times New Roman"/>
      <w:color w:val="auto"/>
      <w:sz w:val="24"/>
      <w:szCs w:val="24"/>
      <w:lang w:eastAsia="ru-RU" w:val="ru-RU" w:bidi="ar-SA"/>
    </w:rPr>
  </w:style>
  <w:style w:type="paragraph" w:styleId="2">
    <w:name w:val="Heading 2"/>
    <w:basedOn w:val="Normal"/>
    <w:link w:val="20"/>
    <w:uiPriority w:val="9"/>
    <w:semiHidden/>
    <w:unhideWhenUsed/>
    <w:qFormat/>
    <w:rsid w:val="000e6bff"/>
    <w:pPr>
      <w:keepNext/>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3">
    <w:name w:val="Heading 3"/>
    <w:basedOn w:val="Normal"/>
    <w:link w:val="30"/>
    <w:uiPriority w:val="9"/>
    <w:unhideWhenUsed/>
    <w:qFormat/>
    <w:rsid w:val="000e6bff"/>
    <w:pPr>
      <w:keepNext/>
      <w:keepLines/>
      <w:spacing w:before="200" w:after="0"/>
      <w:outlineLvl w:val="2"/>
    </w:pPr>
    <w:rPr>
      <w:rFonts w:ascii="Cambria" w:hAnsi="Cambria" w:eastAsia="" w:cs="" w:asciiTheme="majorHAnsi" w:cstheme="majorBidi" w:eastAsiaTheme="majorEastAsia" w:hAnsiTheme="majorHAnsi"/>
      <w:b/>
      <w:bCs/>
      <w:color w:val="4F81BD" w:themeColor="accent1"/>
    </w:rPr>
  </w:style>
  <w:style w:type="character" w:styleId="DefaultParagraphFont" w:default="1">
    <w:name w:val="Default Paragraph Font"/>
    <w:uiPriority w:val="1"/>
    <w:semiHidden/>
    <w:unhideWhenUsed/>
    <w:qFormat/>
    <w:rPr/>
  </w:style>
  <w:style w:type="character" w:styleId="31" w:customStyle="1">
    <w:name w:val="Заголовок 3 Знак"/>
    <w:basedOn w:val="DefaultParagraphFont"/>
    <w:link w:val="3"/>
    <w:uiPriority w:val="9"/>
    <w:qFormat/>
    <w:rsid w:val="000e6bff"/>
    <w:rPr>
      <w:rFonts w:ascii="Cambria" w:hAnsi="Cambria" w:eastAsia="" w:cs="" w:asciiTheme="majorHAnsi" w:cstheme="majorBidi" w:eastAsiaTheme="majorEastAsia" w:hAnsiTheme="majorHAnsi"/>
      <w:b/>
      <w:bCs/>
      <w:color w:val="4F81BD" w:themeColor="accent1"/>
      <w:sz w:val="24"/>
      <w:szCs w:val="24"/>
      <w:lang w:eastAsia="ru-RU"/>
    </w:rPr>
  </w:style>
  <w:style w:type="character" w:styleId="MChar" w:customStyle="1">
    <w:name w:val="m_ПростойТекст Char"/>
    <w:link w:val="m"/>
    <w:qFormat/>
    <w:locked/>
    <w:rsid w:val="000e6bff"/>
    <w:rPr>
      <w:rFonts w:ascii="Times New Roman" w:hAnsi="Times New Roman" w:eastAsia="Times New Roman" w:cs="Times New Roman"/>
      <w:sz w:val="24"/>
      <w:szCs w:val="24"/>
      <w:lang w:eastAsia="ru-RU"/>
    </w:rPr>
  </w:style>
  <w:style w:type="character" w:styleId="Style12" w:customStyle="1">
    <w:name w:val="Текст сноски Знак"/>
    <w:basedOn w:val="DefaultParagraphFont"/>
    <w:link w:val="a5"/>
    <w:uiPriority w:val="99"/>
    <w:semiHidden/>
    <w:qFormat/>
    <w:rsid w:val="000e6bff"/>
    <w:rPr>
      <w:rFonts w:ascii="Times New Roman" w:hAnsi="Times New Roman" w:eastAsia="Times New Roman" w:cs="Times New Roman"/>
      <w:sz w:val="20"/>
      <w:szCs w:val="20"/>
      <w:lang w:eastAsia="ru-RU"/>
    </w:rPr>
  </w:style>
  <w:style w:type="character" w:styleId="Footnotereference">
    <w:name w:val="footnote reference"/>
    <w:basedOn w:val="DefaultParagraphFont"/>
    <w:uiPriority w:val="99"/>
    <w:semiHidden/>
    <w:unhideWhenUsed/>
    <w:qFormat/>
    <w:rsid w:val="000e6bff"/>
    <w:rPr>
      <w:vertAlign w:val="superscript"/>
    </w:rPr>
  </w:style>
  <w:style w:type="character" w:styleId="Style13" w:customStyle="1">
    <w:name w:val="МОЙ Знак"/>
    <w:basedOn w:val="21"/>
    <w:link w:val="a"/>
    <w:qFormat/>
    <w:rsid w:val="000e6bff"/>
    <w:rPr>
      <w:rFonts w:ascii="Times New Roman" w:hAnsi="Times New Roman" w:eastAsia="Times New Roman" w:cs="Times New Roman"/>
      <w:b/>
      <w:bCs/>
      <w:iCs/>
      <w:color w:val="4F81BD" w:themeColor="accent1"/>
      <w:sz w:val="24"/>
      <w:szCs w:val="24"/>
      <w:lang w:eastAsia="ru-RU"/>
    </w:rPr>
  </w:style>
  <w:style w:type="character" w:styleId="21" w:customStyle="1">
    <w:name w:val="Заголовок 2 Знак"/>
    <w:basedOn w:val="DefaultParagraphFont"/>
    <w:link w:val="2"/>
    <w:uiPriority w:val="9"/>
    <w:semiHidden/>
    <w:qFormat/>
    <w:rsid w:val="000e6bff"/>
    <w:rPr>
      <w:rFonts w:ascii="Cambria" w:hAnsi="Cambria" w:eastAsia="" w:cs="" w:asciiTheme="majorHAnsi" w:cstheme="majorBidi" w:eastAsiaTheme="majorEastAsia" w:hAnsiTheme="majorHAnsi"/>
      <w:b/>
      <w:bCs/>
      <w:color w:val="4F81BD" w:themeColor="accent1"/>
      <w:sz w:val="26"/>
      <w:szCs w:val="26"/>
      <w:lang w:eastAsia="ru-RU"/>
    </w:rPr>
  </w:style>
  <w:style w:type="character" w:styleId="ListLabel1">
    <w:name w:val="ListLabel 1"/>
    <w:qFormat/>
    <w:rPr>
      <w:sz w:val="20"/>
      <w:szCs w:val="28"/>
    </w:rPr>
  </w:style>
  <w:style w:type="character" w:styleId="Style14">
    <w:name w:val="Символ сноски"/>
    <w:qFormat/>
    <w:rPr/>
  </w:style>
  <w:style w:type="character" w:styleId="Style15">
    <w:name w:val="Привязка сноски"/>
    <w:rPr>
      <w:vertAlign w:val="superscript"/>
    </w:rPr>
  </w:style>
  <w:style w:type="character" w:styleId="Style16">
    <w:name w:val="Привязка концевой сноски"/>
    <w:rPr>
      <w:vertAlign w:val="superscript"/>
    </w:rPr>
  </w:style>
  <w:style w:type="character" w:styleId="Style17">
    <w:name w:val="Символы концевой сноски"/>
    <w:qFormat/>
    <w:rPr/>
  </w:style>
  <w:style w:type="paragraph" w:styleId="Style18">
    <w:name w:val="Заголовок"/>
    <w:basedOn w:val="Normal"/>
    <w:next w:val="Style19"/>
    <w:qFormat/>
    <w:pPr>
      <w:keepNext/>
      <w:spacing w:before="240" w:after="120"/>
    </w:pPr>
    <w:rPr>
      <w:rFonts w:ascii="Liberation Sans" w:hAnsi="Liberation Sans" w:eastAsia="Microsoft YaHei" w:cs="Mangal"/>
      <w:sz w:val="28"/>
      <w:szCs w:val="28"/>
    </w:rPr>
  </w:style>
  <w:style w:type="paragraph" w:styleId="Style19">
    <w:name w:val="Body Text"/>
    <w:basedOn w:val="Normal"/>
    <w:pPr>
      <w:spacing w:lineRule="auto" w:line="288" w:before="0" w:after="140"/>
    </w:pPr>
    <w:rPr/>
  </w:style>
  <w:style w:type="paragraph" w:styleId="Style20">
    <w:name w:val="List"/>
    <w:basedOn w:val="Style19"/>
    <w:pPr/>
    <w:rPr>
      <w:rFonts w:cs="Mangal"/>
    </w:rPr>
  </w:style>
  <w:style w:type="paragraph" w:styleId="Style21">
    <w:name w:val="Caption"/>
    <w:basedOn w:val="Normal"/>
    <w:qFormat/>
    <w:pPr>
      <w:suppressLineNumbers/>
      <w:spacing w:before="120" w:after="120"/>
    </w:pPr>
    <w:rPr>
      <w:rFonts w:cs="Mangal"/>
      <w:i/>
      <w:iCs/>
      <w:sz w:val="24"/>
      <w:szCs w:val="24"/>
    </w:rPr>
  </w:style>
  <w:style w:type="paragraph" w:styleId="Style22">
    <w:name w:val="Указатель"/>
    <w:basedOn w:val="Normal"/>
    <w:qFormat/>
    <w:pPr>
      <w:suppressLineNumbers/>
    </w:pPr>
    <w:rPr>
      <w:rFonts w:cs="Mangal"/>
    </w:rPr>
  </w:style>
  <w:style w:type="paragraph" w:styleId="M" w:customStyle="1">
    <w:name w:val="m_ПростойТекст"/>
    <w:basedOn w:val="Normal"/>
    <w:link w:val="mChar"/>
    <w:qFormat/>
    <w:rsid w:val="000e6bff"/>
    <w:pPr>
      <w:jc w:val="both"/>
    </w:pPr>
    <w:rPr/>
  </w:style>
  <w:style w:type="paragraph" w:styleId="M1" w:customStyle="1">
    <w:name w:val="m_ТекстТаблицы"/>
    <w:basedOn w:val="M"/>
    <w:qFormat/>
    <w:rsid w:val="000e6bff"/>
    <w:pPr>
      <w:jc w:val="left"/>
    </w:pPr>
    <w:rPr>
      <w:sz w:val="20"/>
    </w:rPr>
  </w:style>
  <w:style w:type="paragraph" w:styleId="M2" w:customStyle="1">
    <w:name w:val="m_ПромШапка"/>
    <w:basedOn w:val="M1"/>
    <w:qFormat/>
    <w:rsid w:val="000e6bff"/>
    <w:pPr>
      <w:keepNext/>
      <w:jc w:val="center"/>
    </w:pPr>
    <w:rPr>
      <w:b/>
      <w:bCs/>
    </w:rPr>
  </w:style>
  <w:style w:type="paragraph" w:styleId="ListParagraph">
    <w:name w:val="List Paragraph"/>
    <w:basedOn w:val="Normal"/>
    <w:uiPriority w:val="34"/>
    <w:qFormat/>
    <w:rsid w:val="000e6bff"/>
    <w:pPr>
      <w:spacing w:before="0" w:after="0"/>
      <w:ind w:left="720" w:hanging="0"/>
      <w:contextualSpacing/>
    </w:pPr>
    <w:rPr/>
  </w:style>
  <w:style w:type="paragraph" w:styleId="Footnotetext">
    <w:name w:val="footnote text"/>
    <w:basedOn w:val="Normal"/>
    <w:link w:val="a6"/>
    <w:uiPriority w:val="99"/>
    <w:semiHidden/>
    <w:unhideWhenUsed/>
    <w:qFormat/>
    <w:rsid w:val="000e6bff"/>
    <w:pPr/>
    <w:rPr>
      <w:sz w:val="20"/>
      <w:szCs w:val="20"/>
    </w:rPr>
  </w:style>
  <w:style w:type="paragraph" w:styleId="Style23" w:customStyle="1">
    <w:name w:val="МОЙ"/>
    <w:basedOn w:val="2"/>
    <w:link w:val="a9"/>
    <w:qFormat/>
    <w:rsid w:val="000e6bff"/>
    <w:pPr>
      <w:keepLines w:val="false"/>
      <w:tabs>
        <w:tab w:val="left" w:pos="426" w:leader="none"/>
      </w:tabs>
      <w:spacing w:before="240" w:after="60"/>
      <w:ind w:left="0" w:hanging="0"/>
    </w:pPr>
    <w:rPr>
      <w:rFonts w:ascii="Times New Roman" w:hAnsi="Times New Roman" w:eastAsia="Times New Roman" w:cs="Times New Roman"/>
      <w:iCs/>
      <w:sz w:val="24"/>
      <w:szCs w:val="24"/>
    </w:rPr>
  </w:style>
  <w:style w:type="paragraph" w:styleId="Style24">
    <w:name w:val="Footnote Text"/>
    <w:basedOn w:val="Normal"/>
    <w:pPr/>
    <w:rPr/>
  </w:style>
  <w:style w:type="numbering" w:styleId="NoList" w:default="1">
    <w:name w:val="No List"/>
    <w:uiPriority w:val="99"/>
    <w:semiHidden/>
    <w:unhideWhenUsed/>
    <w:qFormat/>
  </w:style>
  <w:style w:type="table" w:default="1" w:styleId="a2">
    <w:name w:val="Normal Table"/>
    <w:uiPriority w:val="99"/>
    <w:semiHidden/>
    <w:unhideWhenUsed/>
    <w:tblPr>
      <w:tblInd w:w="0" w:type="dxa"/>
      <w:tblCellMar>
        <w:top w:w="0" w:type="dxa"/>
        <w:left w:w="108" w:type="dxa"/>
        <w:bottom w:w="0" w:type="dxa"/>
        <w:right w:w="108" w:type="dxa"/>
      </w:tblCellMar>
    </w:tblPr>
  </w:style>
  <w:style w:type="table" w:styleId="a8">
    <w:name w:val="Table Grid"/>
    <w:basedOn w:val="a2"/>
    <w:uiPriority w:val="59"/>
    <w:rsid w:val="000e6bf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LibreOffice/5.3.0.3$Windows_x86 LibreOffice_project/7074905676c47b82bbcfbea1aeefc84afe1c50e1</Application>
  <Pages>11</Pages>
  <Words>3013</Words>
  <Characters>21911</Characters>
  <CharactersWithSpaces>24768</CharactersWithSpaces>
  <Paragraphs>186</Paragraphs>
  <Company>CtrlSoft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2019-11-21T08:41:00Z</dcterms:created>
  <dc:creator>Орехов Роман Алексеевич</dc:creator>
  <dc:description/>
  <dc:language>ru-RU</dc:language>
  <cp:lastModifiedBy/>
  <dcterms:modified xsi:type="dcterms:W3CDTF">2020-07-08T14:38:43Z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CtrlSoft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